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2814" w14:textId="77777777" w:rsidR="00C21320" w:rsidRDefault="00290B98" w:rsidP="00290B98">
      <w:pPr>
        <w:spacing w:line="360" w:lineRule="auto"/>
        <w:rPr>
          <w:rFonts w:ascii="Times New Roman" w:hAnsi="Times New Roman" w:cs="Times New Roman"/>
          <w:sz w:val="24"/>
          <w:szCs w:val="24"/>
        </w:rPr>
      </w:pPr>
      <w:r>
        <w:rPr>
          <w:rFonts w:ascii="Times New Roman" w:hAnsi="Times New Roman" w:cs="Times New Roman"/>
          <w:sz w:val="24"/>
          <w:szCs w:val="24"/>
        </w:rPr>
        <w:t>Noah Coco</w:t>
      </w:r>
    </w:p>
    <w:p w14:paraId="7AFB49A6" w14:textId="77777777" w:rsidR="00290B98" w:rsidRDefault="00290B98" w:rsidP="00290B98">
      <w:pPr>
        <w:spacing w:line="360" w:lineRule="auto"/>
        <w:rPr>
          <w:rFonts w:ascii="Times New Roman" w:hAnsi="Times New Roman" w:cs="Times New Roman"/>
          <w:sz w:val="24"/>
          <w:szCs w:val="24"/>
        </w:rPr>
      </w:pPr>
      <w:r>
        <w:rPr>
          <w:rFonts w:ascii="Times New Roman" w:hAnsi="Times New Roman" w:cs="Times New Roman"/>
          <w:sz w:val="24"/>
          <w:szCs w:val="24"/>
        </w:rPr>
        <w:t>ECON 1110</w:t>
      </w:r>
    </w:p>
    <w:p w14:paraId="154562F6" w14:textId="77777777" w:rsidR="00290B98" w:rsidRDefault="00290B98" w:rsidP="00290B98">
      <w:pPr>
        <w:spacing w:line="360" w:lineRule="auto"/>
        <w:rPr>
          <w:rFonts w:ascii="Times New Roman" w:hAnsi="Times New Roman" w:cs="Times New Roman"/>
          <w:sz w:val="24"/>
          <w:szCs w:val="24"/>
        </w:rPr>
      </w:pPr>
      <w:r>
        <w:rPr>
          <w:rFonts w:ascii="Times New Roman" w:hAnsi="Times New Roman" w:cs="Times New Roman"/>
          <w:sz w:val="24"/>
          <w:szCs w:val="24"/>
        </w:rPr>
        <w:t>3 April 2018</w:t>
      </w:r>
    </w:p>
    <w:p w14:paraId="21F2425F" w14:textId="42B04122" w:rsidR="00290B98" w:rsidRDefault="00CE2091" w:rsidP="00290B9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Exchange Rate Credibility and the Collapse of the </w:t>
      </w:r>
      <w:r w:rsidR="00290B98">
        <w:rPr>
          <w:rFonts w:ascii="Times New Roman" w:hAnsi="Times New Roman" w:cs="Times New Roman"/>
          <w:sz w:val="24"/>
          <w:szCs w:val="24"/>
        </w:rPr>
        <w:t>ERM</w:t>
      </w:r>
    </w:p>
    <w:p w14:paraId="65E90988" w14:textId="3D38B24B" w:rsidR="00290B98" w:rsidRDefault="00290B98" w:rsidP="00290B98">
      <w:pPr>
        <w:spacing w:line="360" w:lineRule="auto"/>
        <w:rPr>
          <w:rFonts w:ascii="Times New Roman" w:hAnsi="Times New Roman" w:cs="Times New Roman"/>
          <w:sz w:val="24"/>
          <w:szCs w:val="24"/>
        </w:rPr>
      </w:pPr>
      <w:r>
        <w:rPr>
          <w:rFonts w:ascii="Times New Roman" w:hAnsi="Times New Roman" w:cs="Times New Roman"/>
          <w:sz w:val="24"/>
          <w:szCs w:val="24"/>
        </w:rPr>
        <w:tab/>
      </w:r>
      <w:r w:rsidR="004B1C6B">
        <w:rPr>
          <w:rFonts w:ascii="Times New Roman" w:hAnsi="Times New Roman" w:cs="Times New Roman"/>
          <w:sz w:val="24"/>
          <w:szCs w:val="24"/>
        </w:rPr>
        <w:t>After the failure of the Bretton Woods international monetary system, the European community responded with a regional alternative to promote economic integration and growth within the continent. The Exchange Rate Mechanism</w:t>
      </w:r>
      <w:r w:rsidR="00132C1F">
        <w:rPr>
          <w:rFonts w:ascii="Times New Roman" w:hAnsi="Times New Roman" w:cs="Times New Roman"/>
          <w:sz w:val="24"/>
          <w:szCs w:val="24"/>
        </w:rPr>
        <w:t xml:space="preserve"> of the European Monetary System</w:t>
      </w:r>
      <w:r w:rsidR="004B1C6B">
        <w:rPr>
          <w:rFonts w:ascii="Times New Roman" w:hAnsi="Times New Roman" w:cs="Times New Roman"/>
          <w:sz w:val="24"/>
          <w:szCs w:val="24"/>
        </w:rPr>
        <w:t xml:space="preserve"> was one facet</w:t>
      </w:r>
      <w:r w:rsidR="00171CA5">
        <w:rPr>
          <w:rFonts w:ascii="Times New Roman" w:hAnsi="Times New Roman" w:cs="Times New Roman"/>
          <w:sz w:val="24"/>
          <w:szCs w:val="24"/>
        </w:rPr>
        <w:t xml:space="preserve"> </w:t>
      </w:r>
      <w:r w:rsidR="004B1C6B">
        <w:rPr>
          <w:rFonts w:ascii="Times New Roman" w:hAnsi="Times New Roman" w:cs="Times New Roman"/>
          <w:sz w:val="24"/>
          <w:szCs w:val="24"/>
        </w:rPr>
        <w:t>of</w:t>
      </w:r>
      <w:r w:rsidR="00132C1F">
        <w:rPr>
          <w:rFonts w:ascii="Times New Roman" w:hAnsi="Times New Roman" w:cs="Times New Roman"/>
          <w:sz w:val="24"/>
          <w:szCs w:val="24"/>
        </w:rPr>
        <w:t xml:space="preserve"> the</w:t>
      </w:r>
      <w:r w:rsidR="004B1C6B">
        <w:rPr>
          <w:rFonts w:ascii="Times New Roman" w:hAnsi="Times New Roman" w:cs="Times New Roman"/>
          <w:sz w:val="24"/>
          <w:szCs w:val="24"/>
        </w:rPr>
        <w:t xml:space="preserve"> long-term plan leading to the establishment of a monetary union</w:t>
      </w:r>
      <w:r w:rsidR="00171CA5">
        <w:rPr>
          <w:rFonts w:ascii="Times New Roman" w:hAnsi="Times New Roman" w:cs="Times New Roman"/>
          <w:sz w:val="24"/>
          <w:szCs w:val="24"/>
        </w:rPr>
        <w:t xml:space="preserve"> </w:t>
      </w:r>
      <w:r w:rsidR="004B1C6B">
        <w:rPr>
          <w:rFonts w:ascii="Times New Roman" w:hAnsi="Times New Roman" w:cs="Times New Roman"/>
          <w:sz w:val="24"/>
          <w:szCs w:val="24"/>
        </w:rPr>
        <w:t xml:space="preserve">and with it </w:t>
      </w:r>
      <w:r w:rsidR="00132C1F">
        <w:rPr>
          <w:rFonts w:ascii="Times New Roman" w:hAnsi="Times New Roman" w:cs="Times New Roman"/>
          <w:sz w:val="24"/>
          <w:szCs w:val="24"/>
        </w:rPr>
        <w:t>the coordination of</w:t>
      </w:r>
      <w:r w:rsidR="004B1C6B">
        <w:rPr>
          <w:rFonts w:ascii="Times New Roman" w:hAnsi="Times New Roman" w:cs="Times New Roman"/>
          <w:sz w:val="24"/>
          <w:szCs w:val="24"/>
        </w:rPr>
        <w:t xml:space="preserve"> </w:t>
      </w:r>
      <w:r w:rsidR="00171CA5">
        <w:rPr>
          <w:rFonts w:ascii="Times New Roman" w:hAnsi="Times New Roman" w:cs="Times New Roman"/>
          <w:sz w:val="24"/>
          <w:szCs w:val="24"/>
        </w:rPr>
        <w:t xml:space="preserve">economic and </w:t>
      </w:r>
      <w:r w:rsidR="004B1C6B">
        <w:rPr>
          <w:rFonts w:ascii="Times New Roman" w:hAnsi="Times New Roman" w:cs="Times New Roman"/>
          <w:sz w:val="24"/>
          <w:szCs w:val="24"/>
        </w:rPr>
        <w:t xml:space="preserve">monetary policy across the continent. However, the Exchange Rate Mechanism proved to have mixed success in the subsequent decades following the collapse of the Bretton Woods system. In 1992, </w:t>
      </w:r>
      <w:r w:rsidR="00132C1F">
        <w:rPr>
          <w:rFonts w:ascii="Times New Roman" w:hAnsi="Times New Roman" w:cs="Times New Roman"/>
          <w:sz w:val="24"/>
          <w:szCs w:val="24"/>
        </w:rPr>
        <w:t>Europe witnessed a massive</w:t>
      </w:r>
      <w:r w:rsidR="00A902FE">
        <w:rPr>
          <w:rFonts w:ascii="Times New Roman" w:hAnsi="Times New Roman" w:cs="Times New Roman"/>
          <w:sz w:val="24"/>
          <w:szCs w:val="24"/>
        </w:rPr>
        <w:t xml:space="preserve"> exchange rate crisis</w:t>
      </w:r>
      <w:r w:rsidR="00132C1F">
        <w:rPr>
          <w:rFonts w:ascii="Times New Roman" w:hAnsi="Times New Roman" w:cs="Times New Roman"/>
          <w:sz w:val="24"/>
          <w:szCs w:val="24"/>
        </w:rPr>
        <w:t xml:space="preserve"> and dramatic shock to the ERM</w:t>
      </w:r>
      <w:r w:rsidR="00A902FE">
        <w:rPr>
          <w:rFonts w:ascii="Times New Roman" w:hAnsi="Times New Roman" w:cs="Times New Roman"/>
          <w:sz w:val="24"/>
          <w:szCs w:val="24"/>
        </w:rPr>
        <w:t>. Exchange rates fluctuated</w:t>
      </w:r>
      <w:r w:rsidR="00F908B7">
        <w:rPr>
          <w:rFonts w:ascii="Times New Roman" w:hAnsi="Times New Roman" w:cs="Times New Roman"/>
          <w:sz w:val="24"/>
          <w:szCs w:val="24"/>
        </w:rPr>
        <w:t xml:space="preserve"> wildly</w:t>
      </w:r>
      <w:r w:rsidR="00A902FE">
        <w:rPr>
          <w:rFonts w:ascii="Times New Roman" w:hAnsi="Times New Roman" w:cs="Times New Roman"/>
          <w:sz w:val="24"/>
          <w:szCs w:val="24"/>
        </w:rPr>
        <w:t xml:space="preserve"> and portended a failure of the Exchange Rate Mechanism</w:t>
      </w:r>
      <w:r w:rsidR="004B1C6B">
        <w:rPr>
          <w:rFonts w:ascii="Times New Roman" w:hAnsi="Times New Roman" w:cs="Times New Roman"/>
          <w:sz w:val="24"/>
          <w:szCs w:val="24"/>
        </w:rPr>
        <w:t xml:space="preserve"> </w:t>
      </w:r>
      <w:r w:rsidR="00171CA5">
        <w:rPr>
          <w:rFonts w:ascii="Times New Roman" w:hAnsi="Times New Roman" w:cs="Times New Roman"/>
          <w:sz w:val="24"/>
          <w:szCs w:val="24"/>
        </w:rPr>
        <w:t>and the European Monetary System</w:t>
      </w:r>
      <w:r w:rsidR="00A902FE">
        <w:rPr>
          <w:rFonts w:ascii="Times New Roman" w:hAnsi="Times New Roman" w:cs="Times New Roman"/>
          <w:sz w:val="24"/>
          <w:szCs w:val="24"/>
        </w:rPr>
        <w:t xml:space="preserve">. Although the system did not ultimately </w:t>
      </w:r>
      <w:r w:rsidR="00132C1F">
        <w:rPr>
          <w:rFonts w:ascii="Times New Roman" w:hAnsi="Times New Roman" w:cs="Times New Roman"/>
          <w:sz w:val="24"/>
          <w:szCs w:val="24"/>
        </w:rPr>
        <w:t>collapse completely</w:t>
      </w:r>
      <w:r w:rsidR="00A902FE">
        <w:rPr>
          <w:rFonts w:ascii="Times New Roman" w:hAnsi="Times New Roman" w:cs="Times New Roman"/>
          <w:sz w:val="24"/>
          <w:szCs w:val="24"/>
        </w:rPr>
        <w:t>, its credibility was severely shaken</w:t>
      </w:r>
      <w:r w:rsidR="004B1C6B">
        <w:rPr>
          <w:rFonts w:ascii="Times New Roman" w:hAnsi="Times New Roman" w:cs="Times New Roman"/>
          <w:sz w:val="24"/>
          <w:szCs w:val="24"/>
        </w:rPr>
        <w:t>.</w:t>
      </w:r>
      <w:r w:rsidR="00171CA5">
        <w:rPr>
          <w:rFonts w:ascii="Times New Roman" w:hAnsi="Times New Roman" w:cs="Times New Roman"/>
          <w:sz w:val="24"/>
          <w:szCs w:val="24"/>
        </w:rPr>
        <w:t xml:space="preserve"> The crisis was the result of a severe l</w:t>
      </w:r>
      <w:r w:rsidR="00337F99">
        <w:rPr>
          <w:rFonts w:ascii="Times New Roman" w:hAnsi="Times New Roman" w:cs="Times New Roman"/>
          <w:sz w:val="24"/>
          <w:szCs w:val="24"/>
        </w:rPr>
        <w:t>oss</w:t>
      </w:r>
      <w:r w:rsidR="00171CA5">
        <w:rPr>
          <w:rFonts w:ascii="Times New Roman" w:hAnsi="Times New Roman" w:cs="Times New Roman"/>
          <w:sz w:val="24"/>
          <w:szCs w:val="24"/>
        </w:rPr>
        <w:t xml:space="preserve"> of credibility in the </w:t>
      </w:r>
      <w:r w:rsidR="00F908B7">
        <w:rPr>
          <w:rFonts w:ascii="Times New Roman" w:hAnsi="Times New Roman" w:cs="Times New Roman"/>
          <w:sz w:val="24"/>
          <w:szCs w:val="24"/>
        </w:rPr>
        <w:t xml:space="preserve">ERM </w:t>
      </w:r>
      <w:r w:rsidR="00171CA5">
        <w:rPr>
          <w:rFonts w:ascii="Times New Roman" w:hAnsi="Times New Roman" w:cs="Times New Roman"/>
          <w:sz w:val="24"/>
          <w:szCs w:val="24"/>
        </w:rPr>
        <w:t>system</w:t>
      </w:r>
      <w:r w:rsidR="00337F99">
        <w:rPr>
          <w:rFonts w:ascii="Times New Roman" w:hAnsi="Times New Roman" w:cs="Times New Roman"/>
          <w:sz w:val="24"/>
          <w:szCs w:val="24"/>
        </w:rPr>
        <w:t xml:space="preserve"> that was produced by a lack of policy coordination following </w:t>
      </w:r>
      <w:r w:rsidR="00171CA5">
        <w:rPr>
          <w:rFonts w:ascii="Times New Roman" w:hAnsi="Times New Roman" w:cs="Times New Roman"/>
          <w:sz w:val="24"/>
          <w:szCs w:val="24"/>
        </w:rPr>
        <w:t xml:space="preserve">the reunification of Germany. </w:t>
      </w:r>
      <w:r w:rsidR="004B1C6B">
        <w:rPr>
          <w:rFonts w:ascii="Times New Roman" w:hAnsi="Times New Roman" w:cs="Times New Roman"/>
          <w:sz w:val="24"/>
          <w:szCs w:val="24"/>
        </w:rPr>
        <w:t xml:space="preserve">The purpose of this paper is to </w:t>
      </w:r>
      <w:r w:rsidR="00A902FE">
        <w:rPr>
          <w:rFonts w:ascii="Times New Roman" w:hAnsi="Times New Roman" w:cs="Times New Roman"/>
          <w:sz w:val="24"/>
          <w:szCs w:val="24"/>
        </w:rPr>
        <w:t>explain the</w:t>
      </w:r>
      <w:r w:rsidR="00171CA5">
        <w:rPr>
          <w:rFonts w:ascii="Times New Roman" w:hAnsi="Times New Roman" w:cs="Times New Roman"/>
          <w:sz w:val="24"/>
          <w:szCs w:val="24"/>
        </w:rPr>
        <w:t>se</w:t>
      </w:r>
      <w:r w:rsidR="00A902FE">
        <w:rPr>
          <w:rFonts w:ascii="Times New Roman" w:hAnsi="Times New Roman" w:cs="Times New Roman"/>
          <w:sz w:val="24"/>
          <w:szCs w:val="24"/>
        </w:rPr>
        <w:t xml:space="preserve"> factors that contributed to the exchange rate instability that caused the crisis in 1992. This will be accomplished by first reviewing the existing literature on the theory of exchange rate target zones</w:t>
      </w:r>
      <w:r w:rsidR="00171CA5">
        <w:rPr>
          <w:rFonts w:ascii="Times New Roman" w:hAnsi="Times New Roman" w:cs="Times New Roman"/>
          <w:sz w:val="24"/>
          <w:szCs w:val="24"/>
        </w:rPr>
        <w:t xml:space="preserve"> i</w:t>
      </w:r>
      <w:r w:rsidR="00337F99">
        <w:rPr>
          <w:rFonts w:ascii="Times New Roman" w:hAnsi="Times New Roman" w:cs="Times New Roman"/>
          <w:sz w:val="24"/>
          <w:szCs w:val="24"/>
        </w:rPr>
        <w:t>n an ideal state and during an exchange rate</w:t>
      </w:r>
      <w:r w:rsidR="00171CA5">
        <w:rPr>
          <w:rFonts w:ascii="Times New Roman" w:hAnsi="Times New Roman" w:cs="Times New Roman"/>
          <w:sz w:val="24"/>
          <w:szCs w:val="24"/>
        </w:rPr>
        <w:t xml:space="preserve"> crisis</w:t>
      </w:r>
      <w:r w:rsidR="00A902FE">
        <w:rPr>
          <w:rFonts w:ascii="Times New Roman" w:hAnsi="Times New Roman" w:cs="Times New Roman"/>
          <w:sz w:val="24"/>
          <w:szCs w:val="24"/>
        </w:rPr>
        <w:t>, and then proving that the evidence suggests that the failure of t</w:t>
      </w:r>
      <w:r w:rsidR="00132C1F">
        <w:rPr>
          <w:rFonts w:ascii="Times New Roman" w:hAnsi="Times New Roman" w:cs="Times New Roman"/>
          <w:sz w:val="24"/>
          <w:szCs w:val="24"/>
        </w:rPr>
        <w:t>he system was the result of a loss</w:t>
      </w:r>
      <w:r w:rsidR="00A902FE">
        <w:rPr>
          <w:rFonts w:ascii="Times New Roman" w:hAnsi="Times New Roman" w:cs="Times New Roman"/>
          <w:sz w:val="24"/>
          <w:szCs w:val="24"/>
        </w:rPr>
        <w:t xml:space="preserve"> of credibility</w:t>
      </w:r>
      <w:r w:rsidR="00235921">
        <w:rPr>
          <w:rFonts w:ascii="Times New Roman" w:hAnsi="Times New Roman" w:cs="Times New Roman"/>
          <w:sz w:val="24"/>
          <w:szCs w:val="24"/>
        </w:rPr>
        <w:t xml:space="preserve"> in the system</w:t>
      </w:r>
      <w:r w:rsidR="00132C1F">
        <w:rPr>
          <w:rFonts w:ascii="Times New Roman" w:hAnsi="Times New Roman" w:cs="Times New Roman"/>
          <w:sz w:val="24"/>
          <w:szCs w:val="24"/>
        </w:rPr>
        <w:t xml:space="preserve"> promulgated by a lack of policy coordination</w:t>
      </w:r>
      <w:r w:rsidR="00A902FE">
        <w:rPr>
          <w:rFonts w:ascii="Times New Roman" w:hAnsi="Times New Roman" w:cs="Times New Roman"/>
          <w:sz w:val="24"/>
          <w:szCs w:val="24"/>
        </w:rPr>
        <w:t>.</w:t>
      </w:r>
    </w:p>
    <w:p w14:paraId="63561FBE" w14:textId="7A64E601" w:rsidR="00337F99" w:rsidRDefault="00337F99" w:rsidP="00290B98">
      <w:pPr>
        <w:spacing w:line="360" w:lineRule="auto"/>
        <w:rPr>
          <w:rFonts w:ascii="Times New Roman" w:hAnsi="Times New Roman" w:cs="Times New Roman"/>
          <w:sz w:val="24"/>
          <w:szCs w:val="24"/>
        </w:rPr>
      </w:pPr>
      <w:r>
        <w:rPr>
          <w:rFonts w:ascii="Times New Roman" w:hAnsi="Times New Roman" w:cs="Times New Roman"/>
          <w:sz w:val="24"/>
          <w:szCs w:val="24"/>
        </w:rPr>
        <w:tab/>
        <w:t>Before a discussion of the theory, a brief account of the historical background will provide a contextual framework to consider the following analysis</w:t>
      </w:r>
      <w:r w:rsidR="00875F4C">
        <w:rPr>
          <w:rFonts w:ascii="Times New Roman" w:hAnsi="Times New Roman" w:cs="Times New Roman"/>
          <w:sz w:val="24"/>
          <w:szCs w:val="24"/>
        </w:rPr>
        <w:t>. Following the collapse of the Bretton Woods monetary system in 1972, a European committee under the direction of Pierre Werner, the Prime Minister of Luxembourg, negotiated a planned integration of the European economies through a monetary union. Although the first attempt failed on account of the oil shocks of the 1970s, a second attempt was initiated by the French President Giscard d’Estaing and the German Chancellor Helmut Schmidt in 1979 to establish the</w:t>
      </w:r>
      <w:r w:rsidR="00132C1F">
        <w:rPr>
          <w:rFonts w:ascii="Times New Roman" w:hAnsi="Times New Roman" w:cs="Times New Roman"/>
          <w:sz w:val="24"/>
          <w:szCs w:val="24"/>
        </w:rPr>
        <w:t xml:space="preserve"> European Monetary System with</w:t>
      </w:r>
      <w:r w:rsidR="00875F4C">
        <w:rPr>
          <w:rFonts w:ascii="Times New Roman" w:hAnsi="Times New Roman" w:cs="Times New Roman"/>
          <w:sz w:val="24"/>
          <w:szCs w:val="24"/>
        </w:rPr>
        <w:t xml:space="preserve"> similar motivations. A key feature of the EMS was the Exchange Rate Mechanism, which </w:t>
      </w:r>
      <w:r w:rsidR="00875F4C">
        <w:rPr>
          <w:rFonts w:ascii="Times New Roman" w:hAnsi="Times New Roman" w:cs="Times New Roman"/>
          <w:sz w:val="24"/>
          <w:szCs w:val="24"/>
        </w:rPr>
        <w:lastRenderedPageBreak/>
        <w:t xml:space="preserve">fixed member countries’ </w:t>
      </w:r>
      <w:r w:rsidR="00132C1F">
        <w:rPr>
          <w:rFonts w:ascii="Times New Roman" w:hAnsi="Times New Roman" w:cs="Times New Roman"/>
          <w:sz w:val="24"/>
          <w:szCs w:val="24"/>
        </w:rPr>
        <w:t>exchange rates</w:t>
      </w:r>
      <w:r w:rsidR="00875F4C">
        <w:rPr>
          <w:rFonts w:ascii="Times New Roman" w:hAnsi="Times New Roman" w:cs="Times New Roman"/>
          <w:sz w:val="24"/>
          <w:szCs w:val="24"/>
        </w:rPr>
        <w:t xml:space="preserve"> to a band of +/-</w:t>
      </w:r>
      <w:r w:rsidR="00132C1F">
        <w:rPr>
          <w:rFonts w:ascii="Times New Roman" w:hAnsi="Times New Roman" w:cs="Times New Roman"/>
          <w:sz w:val="24"/>
          <w:szCs w:val="24"/>
        </w:rPr>
        <w:t xml:space="preserve"> </w:t>
      </w:r>
      <w:r w:rsidR="00875F4C">
        <w:rPr>
          <w:rFonts w:ascii="Times New Roman" w:hAnsi="Times New Roman" w:cs="Times New Roman"/>
          <w:sz w:val="24"/>
          <w:szCs w:val="24"/>
        </w:rPr>
        <w:t xml:space="preserve">2.25% </w:t>
      </w:r>
      <w:r w:rsidR="00132C1F">
        <w:rPr>
          <w:rFonts w:ascii="Times New Roman" w:hAnsi="Times New Roman" w:cs="Times New Roman"/>
          <w:sz w:val="24"/>
          <w:szCs w:val="24"/>
        </w:rPr>
        <w:t>relative to</w:t>
      </w:r>
      <w:r w:rsidR="00875F4C">
        <w:rPr>
          <w:rFonts w:ascii="Times New Roman" w:hAnsi="Times New Roman" w:cs="Times New Roman"/>
          <w:sz w:val="24"/>
          <w:szCs w:val="24"/>
        </w:rPr>
        <w:t xml:space="preserve"> each other country’s respective currency. This network of bilateral rates was to be maintained within these pegs by domestic central banks until a point of further development and integration that a single European central bank could dictate European monetary policy. Within this fixed exchange rate regime, countries were </w:t>
      </w:r>
      <w:r w:rsidR="00F908B7">
        <w:rPr>
          <w:rFonts w:ascii="Times New Roman" w:hAnsi="Times New Roman" w:cs="Times New Roman"/>
          <w:sz w:val="24"/>
          <w:szCs w:val="24"/>
        </w:rPr>
        <w:t>permitted</w:t>
      </w:r>
      <w:r w:rsidR="00875F4C">
        <w:rPr>
          <w:rFonts w:ascii="Times New Roman" w:hAnsi="Times New Roman" w:cs="Times New Roman"/>
          <w:sz w:val="24"/>
          <w:szCs w:val="24"/>
        </w:rPr>
        <w:t xml:space="preserve"> to realign their pegs </w:t>
      </w:r>
      <w:r w:rsidR="00707D73">
        <w:rPr>
          <w:rFonts w:ascii="Times New Roman" w:hAnsi="Times New Roman" w:cs="Times New Roman"/>
          <w:sz w:val="24"/>
          <w:szCs w:val="24"/>
        </w:rPr>
        <w:t>upon approval by all EMS member countries</w:t>
      </w:r>
      <w:r w:rsidR="00EE539E">
        <w:rPr>
          <w:rFonts w:ascii="Times New Roman" w:hAnsi="Times New Roman" w:cs="Times New Roman"/>
          <w:sz w:val="24"/>
          <w:szCs w:val="24"/>
        </w:rPr>
        <w:t xml:space="preserve"> (Palm 1996)</w:t>
      </w:r>
      <w:r w:rsidR="00707D73">
        <w:rPr>
          <w:rFonts w:ascii="Times New Roman" w:hAnsi="Times New Roman" w:cs="Times New Roman"/>
          <w:sz w:val="24"/>
          <w:szCs w:val="24"/>
        </w:rPr>
        <w:t>.</w:t>
      </w:r>
    </w:p>
    <w:p w14:paraId="381F8A23" w14:textId="06B2A639" w:rsidR="00A902FE" w:rsidRDefault="00A902FE" w:rsidP="00290B98">
      <w:pPr>
        <w:spacing w:line="360" w:lineRule="auto"/>
        <w:rPr>
          <w:rFonts w:ascii="Times New Roman" w:hAnsi="Times New Roman" w:cs="Times New Roman"/>
          <w:sz w:val="24"/>
          <w:szCs w:val="24"/>
        </w:rPr>
      </w:pPr>
      <w:r>
        <w:rPr>
          <w:rFonts w:ascii="Times New Roman" w:hAnsi="Times New Roman" w:cs="Times New Roman"/>
          <w:sz w:val="24"/>
          <w:szCs w:val="24"/>
        </w:rPr>
        <w:tab/>
      </w:r>
      <w:r w:rsidR="004B7183">
        <w:rPr>
          <w:rFonts w:ascii="Times New Roman" w:hAnsi="Times New Roman" w:cs="Times New Roman"/>
          <w:sz w:val="24"/>
          <w:szCs w:val="24"/>
        </w:rPr>
        <w:t xml:space="preserve">The irony of the conception and implementation of target zones in the Exchange Rate Mechanism is that no established theory regarding the functioning of such target zones existed prior to its implementation. The unsubstantiated intuition </w:t>
      </w:r>
      <w:r w:rsidR="00CC2C98">
        <w:rPr>
          <w:rFonts w:ascii="Times New Roman" w:hAnsi="Times New Roman" w:cs="Times New Roman"/>
          <w:sz w:val="24"/>
          <w:szCs w:val="24"/>
        </w:rPr>
        <w:t>behind fixed exchange rate target zones was that the exchange rates would function as if floating between the two bands. Once the exchange rate exceeded the limits of the bands, governments would intervene to maintain the upper or lower limit, n</w:t>
      </w:r>
      <w:r w:rsidR="000C1F2E">
        <w:rPr>
          <w:rFonts w:ascii="Times New Roman" w:hAnsi="Times New Roman" w:cs="Times New Roman"/>
          <w:sz w:val="24"/>
          <w:szCs w:val="24"/>
        </w:rPr>
        <w:t xml:space="preserve">amely through monetary policy. </w:t>
      </w:r>
      <w:r w:rsidR="00132C1F">
        <w:rPr>
          <w:rFonts w:ascii="Times New Roman" w:hAnsi="Times New Roman" w:cs="Times New Roman"/>
          <w:sz w:val="24"/>
          <w:szCs w:val="24"/>
        </w:rPr>
        <w:t>If the</w:t>
      </w:r>
      <w:r w:rsidR="00CC2C98">
        <w:rPr>
          <w:rFonts w:ascii="Times New Roman" w:hAnsi="Times New Roman" w:cs="Times New Roman"/>
          <w:sz w:val="24"/>
          <w:szCs w:val="24"/>
        </w:rPr>
        <w:t xml:space="preserve"> exchange rate </w:t>
      </w:r>
      <w:r w:rsidR="00613409">
        <w:rPr>
          <w:rFonts w:ascii="Times New Roman" w:hAnsi="Times New Roman" w:cs="Times New Roman"/>
          <w:sz w:val="24"/>
          <w:szCs w:val="24"/>
        </w:rPr>
        <w:t>exceeded</w:t>
      </w:r>
      <w:r w:rsidR="000C1F2E">
        <w:rPr>
          <w:rFonts w:ascii="Times New Roman" w:hAnsi="Times New Roman" w:cs="Times New Roman"/>
          <w:sz w:val="24"/>
          <w:szCs w:val="24"/>
        </w:rPr>
        <w:t xml:space="preserve"> the upper limit </w:t>
      </w:r>
      <w:r w:rsidR="00132C1F">
        <w:rPr>
          <w:rFonts w:ascii="Times New Roman" w:hAnsi="Times New Roman" w:cs="Times New Roman"/>
          <w:sz w:val="24"/>
          <w:szCs w:val="24"/>
        </w:rPr>
        <w:t>then</w:t>
      </w:r>
      <w:r w:rsidR="004B7183">
        <w:rPr>
          <w:rFonts w:ascii="Times New Roman" w:hAnsi="Times New Roman" w:cs="Times New Roman"/>
          <w:sz w:val="24"/>
          <w:szCs w:val="24"/>
        </w:rPr>
        <w:t xml:space="preserve"> </w:t>
      </w:r>
      <w:r w:rsidR="00132C1F">
        <w:rPr>
          <w:rFonts w:ascii="Times New Roman" w:hAnsi="Times New Roman" w:cs="Times New Roman"/>
          <w:sz w:val="24"/>
          <w:szCs w:val="24"/>
        </w:rPr>
        <w:t xml:space="preserve">monetary </w:t>
      </w:r>
      <w:r w:rsidR="00613409">
        <w:rPr>
          <w:rFonts w:ascii="Times New Roman" w:hAnsi="Times New Roman" w:cs="Times New Roman"/>
          <w:sz w:val="24"/>
          <w:szCs w:val="24"/>
        </w:rPr>
        <w:t xml:space="preserve">contraction would be </w:t>
      </w:r>
      <w:r w:rsidR="00132C1F">
        <w:rPr>
          <w:rFonts w:ascii="Times New Roman" w:hAnsi="Times New Roman" w:cs="Times New Roman"/>
          <w:sz w:val="24"/>
          <w:szCs w:val="24"/>
        </w:rPr>
        <w:t xml:space="preserve">pursued to </w:t>
      </w:r>
      <w:r w:rsidR="000C1F2E">
        <w:rPr>
          <w:rFonts w:ascii="Times New Roman" w:hAnsi="Times New Roman" w:cs="Times New Roman"/>
          <w:sz w:val="24"/>
          <w:szCs w:val="24"/>
        </w:rPr>
        <w:t>ap</w:t>
      </w:r>
      <w:r w:rsidR="00132C1F">
        <w:rPr>
          <w:rFonts w:ascii="Times New Roman" w:hAnsi="Times New Roman" w:cs="Times New Roman"/>
          <w:sz w:val="24"/>
          <w:szCs w:val="24"/>
        </w:rPr>
        <w:t>preciate the domestic currency relative to the foreign currency. I</w:t>
      </w:r>
      <w:r w:rsidR="00613409">
        <w:rPr>
          <w:rFonts w:ascii="Times New Roman" w:hAnsi="Times New Roman" w:cs="Times New Roman"/>
          <w:sz w:val="24"/>
          <w:szCs w:val="24"/>
        </w:rPr>
        <w:t>f the exchange rate droped</w:t>
      </w:r>
      <w:r w:rsidR="00132C1F">
        <w:rPr>
          <w:rFonts w:ascii="Times New Roman" w:hAnsi="Times New Roman" w:cs="Times New Roman"/>
          <w:sz w:val="24"/>
          <w:szCs w:val="24"/>
        </w:rPr>
        <w:t xml:space="preserve"> below the lower limit, monetary </w:t>
      </w:r>
      <w:r w:rsidR="000C1F2E">
        <w:rPr>
          <w:rFonts w:ascii="Times New Roman" w:hAnsi="Times New Roman" w:cs="Times New Roman"/>
          <w:sz w:val="24"/>
          <w:szCs w:val="24"/>
        </w:rPr>
        <w:t>expansion</w:t>
      </w:r>
      <w:r w:rsidR="00613409">
        <w:rPr>
          <w:rFonts w:ascii="Times New Roman" w:hAnsi="Times New Roman" w:cs="Times New Roman"/>
          <w:sz w:val="24"/>
          <w:szCs w:val="24"/>
        </w:rPr>
        <w:t xml:space="preserve"> would be</w:t>
      </w:r>
      <w:r w:rsidR="00132C1F">
        <w:rPr>
          <w:rFonts w:ascii="Times New Roman" w:hAnsi="Times New Roman" w:cs="Times New Roman"/>
          <w:sz w:val="24"/>
          <w:szCs w:val="24"/>
        </w:rPr>
        <w:t xml:space="preserve"> pursued to </w:t>
      </w:r>
      <w:r w:rsidR="000C1F2E">
        <w:rPr>
          <w:rFonts w:ascii="Times New Roman" w:hAnsi="Times New Roman" w:cs="Times New Roman"/>
          <w:sz w:val="24"/>
          <w:szCs w:val="24"/>
        </w:rPr>
        <w:t>depreciate the domestic currency against the foreign currency.</w:t>
      </w:r>
      <w:r w:rsidR="00132C1F">
        <w:rPr>
          <w:rFonts w:ascii="Times New Roman" w:hAnsi="Times New Roman" w:cs="Times New Roman"/>
          <w:sz w:val="24"/>
          <w:szCs w:val="24"/>
        </w:rPr>
        <w:t xml:space="preserve"> </w:t>
      </w:r>
      <w:r w:rsidR="004B7183">
        <w:rPr>
          <w:rFonts w:ascii="Times New Roman" w:hAnsi="Times New Roman" w:cs="Times New Roman"/>
          <w:sz w:val="24"/>
          <w:szCs w:val="24"/>
        </w:rPr>
        <w:t xml:space="preserve">It was not </w:t>
      </w:r>
      <w:r w:rsidR="00CC2C98">
        <w:rPr>
          <w:rFonts w:ascii="Times New Roman" w:hAnsi="Times New Roman" w:cs="Times New Roman"/>
          <w:sz w:val="24"/>
          <w:szCs w:val="24"/>
        </w:rPr>
        <w:t xml:space="preserve">until Krugman (1991) published a paper providing a theoretical foundation for the behavior </w:t>
      </w:r>
      <w:r w:rsidR="0026319B">
        <w:rPr>
          <w:rFonts w:ascii="Times New Roman" w:hAnsi="Times New Roman" w:cs="Times New Roman"/>
          <w:sz w:val="24"/>
          <w:szCs w:val="24"/>
        </w:rPr>
        <w:t xml:space="preserve">of exchange rates within target zones that this naïve intuition was proven </w:t>
      </w:r>
      <w:r w:rsidR="0026319B" w:rsidRPr="0026319B">
        <w:rPr>
          <w:rFonts w:ascii="Times New Roman" w:hAnsi="Times New Roman" w:cs="Times New Roman"/>
          <w:noProof/>
          <w:sz w:val="24"/>
          <w:szCs w:val="24"/>
        </w:rPr>
        <w:t>inaccurate</w:t>
      </w:r>
      <w:r w:rsidR="0026319B">
        <w:rPr>
          <w:rFonts w:ascii="Times New Roman" w:hAnsi="Times New Roman" w:cs="Times New Roman"/>
          <w:sz w:val="24"/>
          <w:szCs w:val="24"/>
        </w:rPr>
        <w:t xml:space="preserve"> and proper academic discourse was initiated.</w:t>
      </w:r>
    </w:p>
    <w:p w14:paraId="0EFC2FC3" w14:textId="4F9DFF74" w:rsidR="0026319B" w:rsidRDefault="0026319B" w:rsidP="00290B98">
      <w:pPr>
        <w:spacing w:line="360" w:lineRule="auto"/>
        <w:rPr>
          <w:rFonts w:ascii="Times New Roman" w:hAnsi="Times New Roman" w:cs="Times New Roman"/>
          <w:sz w:val="24"/>
          <w:szCs w:val="24"/>
        </w:rPr>
      </w:pPr>
      <w:r>
        <w:rPr>
          <w:rFonts w:ascii="Times New Roman" w:hAnsi="Times New Roman" w:cs="Times New Roman"/>
          <w:sz w:val="24"/>
          <w:szCs w:val="24"/>
        </w:rPr>
        <w:tab/>
        <w:t>Krugman</w:t>
      </w:r>
      <w:r w:rsidR="00613409">
        <w:rPr>
          <w:rFonts w:ascii="Times New Roman" w:hAnsi="Times New Roman" w:cs="Times New Roman"/>
          <w:sz w:val="24"/>
          <w:szCs w:val="24"/>
        </w:rPr>
        <w:t xml:space="preserve"> (1991)</w:t>
      </w:r>
      <w:r>
        <w:rPr>
          <w:rFonts w:ascii="Times New Roman" w:hAnsi="Times New Roman" w:cs="Times New Roman"/>
          <w:sz w:val="24"/>
          <w:szCs w:val="24"/>
        </w:rPr>
        <w:t xml:space="preserve"> proposed a “minimalist monetary model” of exchange rates constrained within two bands of a target zone. Krugman argues that contrary to the naïve intuition of exchange rate behavior discussed above, these two bands actually constrain expectations of the exchange rate such that as the exchange rate approaches the limits of the bands, it is expected that governments will intervene to prevent the exchange rates from exceeding the bands. Krugman models this behavior with the following equation:</w:t>
      </w:r>
    </w:p>
    <w:p w14:paraId="36939E29" w14:textId="5554398A" w:rsidR="0026319B" w:rsidRDefault="0026319B" w:rsidP="00717224">
      <w:pPr>
        <w:pStyle w:val="ListParagraph"/>
        <w:numPr>
          <w:ilvl w:val="0"/>
          <w:numId w:val="1"/>
        </w:numPr>
        <w:spacing w:line="360" w:lineRule="auto"/>
        <w:ind w:left="2880" w:hanging="2520"/>
        <w:rPr>
          <w:rFonts w:ascii="Times New Roman" w:hAnsi="Times New Roman" w:cs="Times New Roman"/>
          <w:sz w:val="24"/>
          <w:szCs w:val="24"/>
        </w:rPr>
      </w:pPr>
      <w:r>
        <w:rPr>
          <w:rFonts w:ascii="Times New Roman" w:hAnsi="Times New Roman" w:cs="Times New Roman"/>
          <w:sz w:val="24"/>
          <w:szCs w:val="24"/>
        </w:rPr>
        <w:t xml:space="preserve">s = </w:t>
      </w:r>
      <w:r w:rsidR="00717224">
        <w:rPr>
          <w:rFonts w:ascii="Times New Roman" w:hAnsi="Times New Roman" w:cs="Times New Roman"/>
          <w:sz w:val="24"/>
          <w:szCs w:val="24"/>
        </w:rPr>
        <w:t xml:space="preserve">m + </w:t>
      </w:r>
      <w:r w:rsidRPr="0026319B">
        <w:rPr>
          <w:rFonts w:ascii="Times New Roman" w:hAnsi="Times New Roman" w:cs="Times New Roman"/>
          <w:sz w:val="24"/>
          <w:szCs w:val="24"/>
        </w:rPr>
        <w:t xml:space="preserve">v + </w:t>
      </w:r>
      <w:r w:rsidR="00717224">
        <w:rPr>
          <w:rFonts w:ascii="Times New Roman" w:hAnsi="Times New Roman" w:cs="Times New Roman"/>
          <w:sz w:val="24"/>
          <w:szCs w:val="24"/>
        </w:rPr>
        <w:t>γE[ds]/</w:t>
      </w:r>
      <w:r w:rsidRPr="0026319B">
        <w:rPr>
          <w:rFonts w:ascii="Times New Roman" w:hAnsi="Times New Roman" w:cs="Times New Roman"/>
          <w:sz w:val="24"/>
          <w:szCs w:val="24"/>
        </w:rPr>
        <w:t>dt,</w:t>
      </w:r>
    </w:p>
    <w:p w14:paraId="1B303B7A" w14:textId="177D3393" w:rsidR="00717224" w:rsidRDefault="00717224" w:rsidP="00717224">
      <w:pPr>
        <w:spacing w:line="360" w:lineRule="auto"/>
        <w:rPr>
          <w:rFonts w:ascii="Times New Roman" w:hAnsi="Times New Roman" w:cs="Times New Roman"/>
          <w:sz w:val="24"/>
          <w:szCs w:val="24"/>
        </w:rPr>
      </w:pPr>
      <w:r>
        <w:rPr>
          <w:rFonts w:ascii="Times New Roman" w:hAnsi="Times New Roman" w:cs="Times New Roman"/>
          <w:sz w:val="24"/>
          <w:szCs w:val="24"/>
        </w:rPr>
        <w:t>where s is defined as the log of the spot price of foreign exchange, m is money supply, v is a variable for velo</w:t>
      </w:r>
      <w:r w:rsidR="00067EF5">
        <w:rPr>
          <w:rFonts w:ascii="Times New Roman" w:hAnsi="Times New Roman" w:cs="Times New Roman"/>
          <w:sz w:val="24"/>
          <w:szCs w:val="24"/>
        </w:rPr>
        <w:t>city shocks, and the final term</w:t>
      </w:r>
      <w:r>
        <w:rPr>
          <w:rFonts w:ascii="Times New Roman" w:hAnsi="Times New Roman" w:cs="Times New Roman"/>
          <w:sz w:val="24"/>
          <w:szCs w:val="24"/>
        </w:rPr>
        <w:t xml:space="preserve"> is defined as the expected rate of depreciation. The money supply variable, m, is assumed to be fixe</w:t>
      </w:r>
      <w:r w:rsidR="00067EF5">
        <w:rPr>
          <w:rFonts w:ascii="Times New Roman" w:hAnsi="Times New Roman" w:cs="Times New Roman"/>
          <w:sz w:val="24"/>
          <w:szCs w:val="24"/>
        </w:rPr>
        <w:t>d and is only adjusted</w:t>
      </w:r>
      <w:r>
        <w:rPr>
          <w:rFonts w:ascii="Times New Roman" w:hAnsi="Times New Roman" w:cs="Times New Roman"/>
          <w:sz w:val="24"/>
          <w:szCs w:val="24"/>
        </w:rPr>
        <w:t xml:space="preserve"> </w:t>
      </w:r>
      <w:r>
        <w:rPr>
          <w:rFonts w:ascii="Times New Roman" w:hAnsi="Times New Roman" w:cs="Times New Roman"/>
          <w:noProof/>
          <w:sz w:val="24"/>
          <w:szCs w:val="24"/>
        </w:rPr>
        <w:t>b</w:t>
      </w:r>
      <w:r w:rsidRPr="00717224">
        <w:rPr>
          <w:rFonts w:ascii="Times New Roman" w:hAnsi="Times New Roman" w:cs="Times New Roman"/>
          <w:noProof/>
          <w:sz w:val="24"/>
          <w:szCs w:val="24"/>
        </w:rPr>
        <w:t>y</w:t>
      </w:r>
      <w:r>
        <w:rPr>
          <w:rFonts w:ascii="Times New Roman" w:hAnsi="Times New Roman" w:cs="Times New Roman"/>
          <w:sz w:val="24"/>
          <w:szCs w:val="24"/>
        </w:rPr>
        <w:t xml:space="preserve"> monetary policy to maintain exchange rates within the band. Furthermore, v is assumed to follow a random walk within this simple model. This simple model can be utilized to disprove the naïve view</w:t>
      </w:r>
      <w:r w:rsidR="00067EF5">
        <w:rPr>
          <w:rFonts w:ascii="Times New Roman" w:hAnsi="Times New Roman" w:cs="Times New Roman"/>
          <w:sz w:val="24"/>
          <w:szCs w:val="24"/>
        </w:rPr>
        <w:t xml:space="preserve"> of </w:t>
      </w:r>
      <w:r w:rsidR="00067EF5">
        <w:rPr>
          <w:rFonts w:ascii="Times New Roman" w:hAnsi="Times New Roman" w:cs="Times New Roman"/>
          <w:sz w:val="24"/>
          <w:szCs w:val="24"/>
        </w:rPr>
        <w:lastRenderedPageBreak/>
        <w:t>floating exchange rates between bands in favor</w:t>
      </w:r>
      <w:r>
        <w:rPr>
          <w:rFonts w:ascii="Times New Roman" w:hAnsi="Times New Roman" w:cs="Times New Roman"/>
          <w:sz w:val="24"/>
          <w:szCs w:val="24"/>
        </w:rPr>
        <w:t xml:space="preserve"> </w:t>
      </w:r>
      <w:r w:rsidR="00067EF5">
        <w:rPr>
          <w:rFonts w:ascii="Times New Roman" w:hAnsi="Times New Roman" w:cs="Times New Roman"/>
          <w:sz w:val="24"/>
          <w:szCs w:val="24"/>
        </w:rPr>
        <w:t xml:space="preserve">of </w:t>
      </w:r>
      <w:r w:rsidR="00613409">
        <w:rPr>
          <w:rFonts w:ascii="Times New Roman" w:hAnsi="Times New Roman" w:cs="Times New Roman"/>
          <w:sz w:val="24"/>
          <w:szCs w:val="24"/>
        </w:rPr>
        <w:t>Krugman’s</w:t>
      </w:r>
      <w:r>
        <w:rPr>
          <w:rFonts w:ascii="Times New Roman" w:hAnsi="Times New Roman" w:cs="Times New Roman"/>
          <w:sz w:val="24"/>
          <w:szCs w:val="24"/>
        </w:rPr>
        <w:t xml:space="preserve"> </w:t>
      </w:r>
      <w:r w:rsidR="00067EF5">
        <w:rPr>
          <w:rFonts w:ascii="Times New Roman" w:hAnsi="Times New Roman" w:cs="Times New Roman"/>
          <w:sz w:val="24"/>
          <w:szCs w:val="24"/>
        </w:rPr>
        <w:t xml:space="preserve">proposed </w:t>
      </w:r>
      <w:r>
        <w:rPr>
          <w:rFonts w:ascii="Times New Roman" w:hAnsi="Times New Roman" w:cs="Times New Roman"/>
          <w:sz w:val="24"/>
          <w:szCs w:val="24"/>
        </w:rPr>
        <w:t>theory</w:t>
      </w:r>
      <w:r w:rsidR="00067EF5">
        <w:rPr>
          <w:rFonts w:ascii="Times New Roman" w:hAnsi="Times New Roman" w:cs="Times New Roman"/>
          <w:sz w:val="24"/>
          <w:szCs w:val="24"/>
        </w:rPr>
        <w:t xml:space="preserve"> of constrained expectations</w:t>
      </w:r>
      <w:r>
        <w:rPr>
          <w:rFonts w:ascii="Times New Roman" w:hAnsi="Times New Roman" w:cs="Times New Roman"/>
          <w:sz w:val="24"/>
          <w:szCs w:val="24"/>
        </w:rPr>
        <w:t xml:space="preserve">. </w:t>
      </w:r>
    </w:p>
    <w:p w14:paraId="1969D954" w14:textId="77505237" w:rsidR="004722B0" w:rsidRDefault="00717224" w:rsidP="004722B0">
      <w:pPr>
        <w:spacing w:line="360" w:lineRule="auto"/>
        <w:rPr>
          <w:rFonts w:ascii="Times New Roman" w:hAnsi="Times New Roman" w:cs="Times New Roman"/>
          <w:sz w:val="24"/>
          <w:szCs w:val="24"/>
        </w:rPr>
      </w:pPr>
      <w:r>
        <w:rPr>
          <w:rFonts w:ascii="Times New Roman" w:hAnsi="Times New Roman" w:cs="Times New Roman"/>
          <w:sz w:val="24"/>
          <w:szCs w:val="24"/>
        </w:rPr>
        <w:tab/>
        <w:t>According to Krugman, in the naïve view, with constant m and randomly varying v, expected depreciation is equal to zero, so s = m + v</w:t>
      </w:r>
      <w:r w:rsidR="004722B0">
        <w:rPr>
          <w:rFonts w:ascii="Times New Roman" w:hAnsi="Times New Roman" w:cs="Times New Roman"/>
          <w:sz w:val="24"/>
          <w:szCs w:val="24"/>
        </w:rPr>
        <w:t xml:space="preserve"> </w:t>
      </w:r>
      <w:r w:rsidR="00AC7AFA">
        <w:rPr>
          <w:rFonts w:ascii="Times New Roman" w:hAnsi="Times New Roman" w:cs="Times New Roman"/>
          <w:sz w:val="24"/>
          <w:szCs w:val="24"/>
        </w:rPr>
        <w:t>in</w:t>
      </w:r>
      <w:r w:rsidR="004722B0">
        <w:rPr>
          <w:rFonts w:ascii="Times New Roman" w:hAnsi="Times New Roman" w:cs="Times New Roman"/>
          <w:sz w:val="24"/>
          <w:szCs w:val="24"/>
        </w:rPr>
        <w:t xml:space="preserve"> a</w:t>
      </w:r>
      <w:r w:rsidR="00AC7AFA">
        <w:rPr>
          <w:rFonts w:ascii="Times New Roman" w:hAnsi="Times New Roman" w:cs="Times New Roman"/>
          <w:sz w:val="24"/>
          <w:szCs w:val="24"/>
        </w:rPr>
        <w:t>n essentially</w:t>
      </w:r>
      <w:r w:rsidR="004722B0">
        <w:rPr>
          <w:rFonts w:ascii="Times New Roman" w:hAnsi="Times New Roman" w:cs="Times New Roman"/>
          <w:sz w:val="24"/>
          <w:szCs w:val="24"/>
        </w:rPr>
        <w:t xml:space="preserve"> floating exchange rate within the target zone</w:t>
      </w:r>
      <w:r>
        <w:rPr>
          <w:rFonts w:ascii="Times New Roman" w:hAnsi="Times New Roman" w:cs="Times New Roman"/>
          <w:sz w:val="24"/>
          <w:szCs w:val="24"/>
        </w:rPr>
        <w:t xml:space="preserve">, </w:t>
      </w:r>
      <w:r w:rsidR="00462F3C">
        <w:rPr>
          <w:rFonts w:ascii="Times New Roman" w:hAnsi="Times New Roman" w:cs="Times New Roman"/>
          <w:sz w:val="24"/>
          <w:szCs w:val="24"/>
        </w:rPr>
        <w:t xml:space="preserve">which is </w:t>
      </w:r>
      <w:r>
        <w:rPr>
          <w:rFonts w:ascii="Times New Roman" w:hAnsi="Times New Roman" w:cs="Times New Roman"/>
          <w:sz w:val="24"/>
          <w:szCs w:val="24"/>
        </w:rPr>
        <w:t>depicted in graphical form in Appen</w:t>
      </w:r>
      <w:r w:rsidR="004722B0">
        <w:rPr>
          <w:rFonts w:ascii="Times New Roman" w:hAnsi="Times New Roman" w:cs="Times New Roman"/>
          <w:sz w:val="24"/>
          <w:szCs w:val="24"/>
        </w:rPr>
        <w:t>dix 1. However, Krugman argues th</w:t>
      </w:r>
      <w:r w:rsidR="00AC7AFA">
        <w:rPr>
          <w:rFonts w:ascii="Times New Roman" w:hAnsi="Times New Roman" w:cs="Times New Roman"/>
          <w:sz w:val="24"/>
          <w:szCs w:val="24"/>
        </w:rPr>
        <w:t>at the exchange rate is “dragged down</w:t>
      </w:r>
      <w:r w:rsidR="00E03404">
        <w:rPr>
          <w:rFonts w:ascii="Times New Roman" w:hAnsi="Times New Roman" w:cs="Times New Roman"/>
          <w:sz w:val="24"/>
          <w:szCs w:val="24"/>
        </w:rPr>
        <w:t>” by the expected depreciation term as the exchange rate approaches the bands because governments are expected to intervene by adjusting the money supply accordingly to maintain the credibility of the target zone</w:t>
      </w:r>
      <w:r w:rsidR="00067EF5">
        <w:rPr>
          <w:rFonts w:ascii="Times New Roman" w:hAnsi="Times New Roman" w:cs="Times New Roman"/>
          <w:sz w:val="24"/>
          <w:szCs w:val="24"/>
        </w:rPr>
        <w:t>; exchange rates will never exceed the fixed pegs</w:t>
      </w:r>
      <w:r w:rsidR="00E03404">
        <w:rPr>
          <w:rFonts w:ascii="Times New Roman" w:hAnsi="Times New Roman" w:cs="Times New Roman"/>
          <w:sz w:val="24"/>
          <w:szCs w:val="24"/>
        </w:rPr>
        <w:t>. This produces an S-curve graphically depicted in Appendix 2.</w:t>
      </w:r>
      <w:r w:rsidR="00526582">
        <w:rPr>
          <w:rFonts w:ascii="Times New Roman" w:hAnsi="Times New Roman" w:cs="Times New Roman"/>
          <w:sz w:val="24"/>
          <w:szCs w:val="24"/>
        </w:rPr>
        <w:t xml:space="preserve"> The S-curve is </w:t>
      </w:r>
      <w:r w:rsidR="00462F3C">
        <w:rPr>
          <w:rFonts w:ascii="Times New Roman" w:hAnsi="Times New Roman" w:cs="Times New Roman"/>
          <w:sz w:val="24"/>
          <w:szCs w:val="24"/>
        </w:rPr>
        <w:t>tangent to the target zone pegs</w:t>
      </w:r>
      <w:r w:rsidR="005C4809">
        <w:rPr>
          <w:rFonts w:ascii="Times New Roman" w:hAnsi="Times New Roman" w:cs="Times New Roman"/>
          <w:sz w:val="24"/>
          <w:szCs w:val="24"/>
        </w:rPr>
        <w:t xml:space="preserve"> because exchange rates would never be expected to </w:t>
      </w:r>
      <w:r w:rsidR="006B5E4B">
        <w:rPr>
          <w:rFonts w:ascii="Times New Roman" w:hAnsi="Times New Roman" w:cs="Times New Roman"/>
          <w:sz w:val="24"/>
          <w:szCs w:val="24"/>
        </w:rPr>
        <w:t>exceed the limits without government intervention adjusting the money supply –</w:t>
      </w:r>
      <w:r w:rsidR="008E0FC3">
        <w:rPr>
          <w:rFonts w:ascii="Times New Roman" w:hAnsi="Times New Roman" w:cs="Times New Roman"/>
          <w:sz w:val="24"/>
          <w:szCs w:val="24"/>
        </w:rPr>
        <w:t xml:space="preserve"> a</w:t>
      </w:r>
      <w:r w:rsidR="006B5E4B">
        <w:rPr>
          <w:rFonts w:ascii="Times New Roman" w:hAnsi="Times New Roman" w:cs="Times New Roman"/>
          <w:sz w:val="24"/>
          <w:szCs w:val="24"/>
        </w:rPr>
        <w:t xml:space="preserve"> shift of the S-curve along the x-axis –</w:t>
      </w:r>
      <w:r w:rsidR="00462F3C">
        <w:rPr>
          <w:rFonts w:ascii="Times New Roman" w:hAnsi="Times New Roman" w:cs="Times New Roman"/>
          <w:sz w:val="24"/>
          <w:szCs w:val="24"/>
        </w:rPr>
        <w:t xml:space="preserve"> to make credible government</w:t>
      </w:r>
      <w:r w:rsidR="006B5E4B">
        <w:rPr>
          <w:rFonts w:ascii="Times New Roman" w:hAnsi="Times New Roman" w:cs="Times New Roman"/>
          <w:sz w:val="24"/>
          <w:szCs w:val="24"/>
        </w:rPr>
        <w:t xml:space="preserve"> commitment</w:t>
      </w:r>
      <w:r w:rsidR="00462F3C">
        <w:rPr>
          <w:rFonts w:ascii="Times New Roman" w:hAnsi="Times New Roman" w:cs="Times New Roman"/>
          <w:sz w:val="24"/>
          <w:szCs w:val="24"/>
        </w:rPr>
        <w:t>s</w:t>
      </w:r>
      <w:r w:rsidR="006B5E4B">
        <w:rPr>
          <w:rFonts w:ascii="Times New Roman" w:hAnsi="Times New Roman" w:cs="Times New Roman"/>
          <w:sz w:val="24"/>
          <w:szCs w:val="24"/>
        </w:rPr>
        <w:t xml:space="preserve"> to maintaining the target zone.</w:t>
      </w:r>
      <w:r w:rsidR="008E0FC3">
        <w:rPr>
          <w:rFonts w:ascii="Times New Roman" w:hAnsi="Times New Roman" w:cs="Times New Roman"/>
          <w:sz w:val="24"/>
          <w:szCs w:val="24"/>
        </w:rPr>
        <w:t xml:space="preserve"> Credibility is</w:t>
      </w:r>
      <w:r w:rsidR="00067EF5">
        <w:rPr>
          <w:rFonts w:ascii="Times New Roman" w:hAnsi="Times New Roman" w:cs="Times New Roman"/>
          <w:sz w:val="24"/>
          <w:szCs w:val="24"/>
        </w:rPr>
        <w:t xml:space="preserve"> a</w:t>
      </w:r>
      <w:r w:rsidR="008E0FC3">
        <w:rPr>
          <w:rFonts w:ascii="Times New Roman" w:hAnsi="Times New Roman" w:cs="Times New Roman"/>
          <w:sz w:val="24"/>
          <w:szCs w:val="24"/>
        </w:rPr>
        <w:t xml:space="preserve"> key</w:t>
      </w:r>
      <w:r w:rsidR="00067EF5">
        <w:rPr>
          <w:rFonts w:ascii="Times New Roman" w:hAnsi="Times New Roman" w:cs="Times New Roman"/>
          <w:sz w:val="24"/>
          <w:szCs w:val="24"/>
        </w:rPr>
        <w:t xml:space="preserve"> assumption</w:t>
      </w:r>
      <w:r w:rsidR="00462F3C">
        <w:rPr>
          <w:rFonts w:ascii="Times New Roman" w:hAnsi="Times New Roman" w:cs="Times New Roman"/>
          <w:sz w:val="24"/>
          <w:szCs w:val="24"/>
        </w:rPr>
        <w:t xml:space="preserve"> in this model</w:t>
      </w:r>
      <w:r w:rsidR="008E0FC3">
        <w:rPr>
          <w:rFonts w:ascii="Times New Roman" w:hAnsi="Times New Roman" w:cs="Times New Roman"/>
          <w:sz w:val="24"/>
          <w:szCs w:val="24"/>
        </w:rPr>
        <w:t xml:space="preserve"> because if governments lack credibility to maintain exchange rates then the curve loses its shape and resumes an expectation of a floating rate model.</w:t>
      </w:r>
    </w:p>
    <w:p w14:paraId="7A72A11D" w14:textId="706EF5CE" w:rsidR="00543956" w:rsidRDefault="00543956" w:rsidP="004722B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Krugman’s model was simple and general in nature, and as such failed to consider a number of </w:t>
      </w:r>
      <w:r w:rsidR="00067EF5">
        <w:rPr>
          <w:rFonts w:ascii="Times New Roman" w:hAnsi="Times New Roman" w:cs="Times New Roman"/>
          <w:sz w:val="24"/>
          <w:szCs w:val="24"/>
        </w:rPr>
        <w:t>relevant</w:t>
      </w:r>
      <w:r>
        <w:rPr>
          <w:rFonts w:ascii="Times New Roman" w:hAnsi="Times New Roman" w:cs="Times New Roman"/>
          <w:sz w:val="24"/>
          <w:szCs w:val="24"/>
        </w:rPr>
        <w:t xml:space="preserve"> variables. Bertola and Caballero (1992) expanded on Krugman’s model to include the expectations of realignment, </w:t>
      </w:r>
      <w:r w:rsidR="00B81790">
        <w:rPr>
          <w:rFonts w:ascii="Times New Roman" w:hAnsi="Times New Roman" w:cs="Times New Roman"/>
          <w:sz w:val="24"/>
          <w:szCs w:val="24"/>
        </w:rPr>
        <w:t>a key feature and viable policy option</w:t>
      </w:r>
      <w:r>
        <w:rPr>
          <w:rFonts w:ascii="Times New Roman" w:hAnsi="Times New Roman" w:cs="Times New Roman"/>
          <w:sz w:val="24"/>
          <w:szCs w:val="24"/>
        </w:rPr>
        <w:t xml:space="preserve"> under the Exchange Rate Mechanism. </w:t>
      </w:r>
      <w:r w:rsidR="00973D0B">
        <w:rPr>
          <w:rFonts w:ascii="Times New Roman" w:hAnsi="Times New Roman" w:cs="Times New Roman"/>
          <w:sz w:val="24"/>
          <w:szCs w:val="24"/>
        </w:rPr>
        <w:t>They argu</w:t>
      </w:r>
      <w:r w:rsidR="00B55EFF">
        <w:rPr>
          <w:rFonts w:ascii="Times New Roman" w:hAnsi="Times New Roman" w:cs="Times New Roman"/>
          <w:sz w:val="24"/>
          <w:szCs w:val="24"/>
        </w:rPr>
        <w:t>e that frequent realignments have</w:t>
      </w:r>
      <w:r w:rsidR="00973D0B">
        <w:rPr>
          <w:rFonts w:ascii="Times New Roman" w:hAnsi="Times New Roman" w:cs="Times New Roman"/>
          <w:sz w:val="24"/>
          <w:szCs w:val="24"/>
        </w:rPr>
        <w:t xml:space="preserve"> more explanatory power in determining the behavior of exchange rates within the bands of the ERM.</w:t>
      </w:r>
      <w:r w:rsidR="00A14DAE">
        <w:rPr>
          <w:rFonts w:ascii="Times New Roman" w:hAnsi="Times New Roman" w:cs="Times New Roman"/>
          <w:sz w:val="24"/>
          <w:szCs w:val="24"/>
        </w:rPr>
        <w:t xml:space="preserve"> They contribute to the model a variable for expectations of realignment weighted by p, the probability of realignment when the exchange rate is at the margins of the bands. As the probability of realignment increases</w:t>
      </w:r>
      <w:r w:rsidR="00505636">
        <w:rPr>
          <w:rFonts w:ascii="Times New Roman" w:hAnsi="Times New Roman" w:cs="Times New Roman"/>
          <w:sz w:val="24"/>
          <w:szCs w:val="24"/>
        </w:rPr>
        <w:t xml:space="preserve"> above 1/2</w:t>
      </w:r>
      <w:r w:rsidR="00A77A9F">
        <w:rPr>
          <w:rFonts w:ascii="Times New Roman" w:hAnsi="Times New Roman" w:cs="Times New Roman"/>
          <w:sz w:val="24"/>
          <w:szCs w:val="24"/>
        </w:rPr>
        <w:t>, the S-curve invert</w:t>
      </w:r>
      <w:r w:rsidR="00A14DAE">
        <w:rPr>
          <w:rFonts w:ascii="Times New Roman" w:hAnsi="Times New Roman" w:cs="Times New Roman"/>
          <w:sz w:val="24"/>
          <w:szCs w:val="24"/>
        </w:rPr>
        <w:t>s as expectations of realignment up or down increase at the limits of the bands.</w:t>
      </w:r>
      <w:r w:rsidR="00A77A9F">
        <w:rPr>
          <w:rFonts w:ascii="Times New Roman" w:hAnsi="Times New Roman" w:cs="Times New Roman"/>
          <w:sz w:val="24"/>
          <w:szCs w:val="24"/>
        </w:rPr>
        <w:t xml:space="preserve"> With this adjustment to Krugman’s model</w:t>
      </w:r>
      <w:r w:rsidR="00AF365B">
        <w:rPr>
          <w:rFonts w:ascii="Times New Roman" w:hAnsi="Times New Roman" w:cs="Times New Roman"/>
          <w:sz w:val="24"/>
          <w:szCs w:val="24"/>
        </w:rPr>
        <w:t>, Bertola and Caballero establish</w:t>
      </w:r>
      <w:r w:rsidR="00B55EFF">
        <w:rPr>
          <w:rFonts w:ascii="Times New Roman" w:hAnsi="Times New Roman" w:cs="Times New Roman"/>
          <w:sz w:val="24"/>
          <w:szCs w:val="24"/>
        </w:rPr>
        <w:t>ed</w:t>
      </w:r>
      <w:r w:rsidR="00AF365B">
        <w:rPr>
          <w:rFonts w:ascii="Times New Roman" w:hAnsi="Times New Roman" w:cs="Times New Roman"/>
          <w:sz w:val="24"/>
          <w:szCs w:val="24"/>
        </w:rPr>
        <w:t xml:space="preserve"> a model of imperfectly credible exchange rate pegs, but</w:t>
      </w:r>
      <w:r w:rsidR="00B55EFF">
        <w:rPr>
          <w:rFonts w:ascii="Times New Roman" w:hAnsi="Times New Roman" w:cs="Times New Roman"/>
          <w:sz w:val="24"/>
          <w:szCs w:val="24"/>
        </w:rPr>
        <w:t xml:space="preserve"> it nonetheless</w:t>
      </w:r>
      <w:r w:rsidR="00AF365B">
        <w:rPr>
          <w:rFonts w:ascii="Times New Roman" w:hAnsi="Times New Roman" w:cs="Times New Roman"/>
          <w:sz w:val="24"/>
          <w:szCs w:val="24"/>
        </w:rPr>
        <w:t xml:space="preserve"> relatively accurately describe</w:t>
      </w:r>
      <w:r w:rsidR="007D137A">
        <w:rPr>
          <w:rFonts w:ascii="Times New Roman" w:hAnsi="Times New Roman" w:cs="Times New Roman"/>
          <w:sz w:val="24"/>
          <w:szCs w:val="24"/>
        </w:rPr>
        <w:t>d</w:t>
      </w:r>
      <w:r w:rsidR="00AF365B">
        <w:rPr>
          <w:rFonts w:ascii="Times New Roman" w:hAnsi="Times New Roman" w:cs="Times New Roman"/>
          <w:sz w:val="24"/>
          <w:szCs w:val="24"/>
        </w:rPr>
        <w:t xml:space="preserve"> exchange rate behavior </w:t>
      </w:r>
      <w:r w:rsidR="007D137A">
        <w:rPr>
          <w:rFonts w:ascii="Times New Roman" w:hAnsi="Times New Roman" w:cs="Times New Roman"/>
          <w:sz w:val="24"/>
          <w:szCs w:val="24"/>
        </w:rPr>
        <w:t>in the ERM until the late 1980s.</w:t>
      </w:r>
    </w:p>
    <w:p w14:paraId="3DDACAF2" w14:textId="21531349" w:rsidR="00462F3C" w:rsidRDefault="007D137A" w:rsidP="004722B0">
      <w:pPr>
        <w:spacing w:line="360" w:lineRule="auto"/>
        <w:rPr>
          <w:rFonts w:ascii="Times New Roman" w:hAnsi="Times New Roman" w:cs="Times New Roman"/>
          <w:sz w:val="24"/>
          <w:szCs w:val="24"/>
        </w:rPr>
      </w:pPr>
      <w:r>
        <w:rPr>
          <w:rFonts w:ascii="Times New Roman" w:hAnsi="Times New Roman" w:cs="Times New Roman"/>
          <w:sz w:val="24"/>
          <w:szCs w:val="24"/>
        </w:rPr>
        <w:tab/>
        <w:t>In order to explain the crisis in 1992 of the ERM, one more</w:t>
      </w:r>
      <w:r w:rsidR="00102055">
        <w:rPr>
          <w:rFonts w:ascii="Times New Roman" w:hAnsi="Times New Roman" w:cs="Times New Roman"/>
          <w:sz w:val="24"/>
          <w:szCs w:val="24"/>
        </w:rPr>
        <w:t xml:space="preserve"> crucial</w:t>
      </w:r>
      <w:r>
        <w:rPr>
          <w:rFonts w:ascii="Times New Roman" w:hAnsi="Times New Roman" w:cs="Times New Roman"/>
          <w:sz w:val="24"/>
          <w:szCs w:val="24"/>
        </w:rPr>
        <w:t xml:space="preserve"> condition of imperfect credibility of the ERM system has to be explored.</w:t>
      </w:r>
      <w:r w:rsidR="00462F3C">
        <w:rPr>
          <w:rFonts w:ascii="Times New Roman" w:hAnsi="Times New Roman" w:cs="Times New Roman"/>
          <w:sz w:val="24"/>
          <w:szCs w:val="24"/>
        </w:rPr>
        <w:t xml:space="preserve"> Buiter, Corsetti, and P</w:t>
      </w:r>
      <w:r w:rsidR="00102055">
        <w:rPr>
          <w:rFonts w:ascii="Times New Roman" w:hAnsi="Times New Roman" w:cs="Times New Roman"/>
          <w:sz w:val="24"/>
          <w:szCs w:val="24"/>
        </w:rPr>
        <w:t xml:space="preserve">esenti (1998) employ the theory of </w:t>
      </w:r>
      <w:r w:rsidR="00EE539E">
        <w:rPr>
          <w:rFonts w:ascii="Times New Roman" w:hAnsi="Times New Roman" w:cs="Times New Roman"/>
          <w:sz w:val="24"/>
          <w:szCs w:val="24"/>
        </w:rPr>
        <w:t>a currency crisis</w:t>
      </w:r>
      <w:r w:rsidR="00102055">
        <w:rPr>
          <w:rFonts w:ascii="Times New Roman" w:hAnsi="Times New Roman" w:cs="Times New Roman"/>
          <w:sz w:val="24"/>
          <w:szCs w:val="24"/>
        </w:rPr>
        <w:t xml:space="preserve"> to </w:t>
      </w:r>
      <w:r w:rsidR="00B64FE9">
        <w:rPr>
          <w:rFonts w:ascii="Times New Roman" w:hAnsi="Times New Roman" w:cs="Times New Roman"/>
          <w:sz w:val="24"/>
          <w:szCs w:val="24"/>
        </w:rPr>
        <w:t>model the imperfectly credible commitment to exchange rates</w:t>
      </w:r>
      <w:r w:rsidR="00EE539E">
        <w:rPr>
          <w:rFonts w:ascii="Times New Roman" w:hAnsi="Times New Roman" w:cs="Times New Roman"/>
          <w:sz w:val="24"/>
          <w:szCs w:val="24"/>
        </w:rPr>
        <w:t>.</w:t>
      </w:r>
      <w:r w:rsidR="00B64FE9">
        <w:rPr>
          <w:rFonts w:ascii="Times New Roman" w:hAnsi="Times New Roman" w:cs="Times New Roman"/>
          <w:sz w:val="24"/>
          <w:szCs w:val="24"/>
        </w:rPr>
        <w:t xml:space="preserve"> </w:t>
      </w:r>
      <w:r w:rsidR="00B55EFF">
        <w:rPr>
          <w:rFonts w:ascii="Times New Roman" w:hAnsi="Times New Roman" w:cs="Times New Roman"/>
          <w:sz w:val="24"/>
          <w:szCs w:val="24"/>
        </w:rPr>
        <w:t>This condition holds</w:t>
      </w:r>
      <w:r w:rsidR="00EE539E">
        <w:rPr>
          <w:rFonts w:ascii="Times New Roman" w:hAnsi="Times New Roman" w:cs="Times New Roman"/>
          <w:sz w:val="24"/>
          <w:szCs w:val="24"/>
        </w:rPr>
        <w:t xml:space="preserve"> because</w:t>
      </w:r>
      <w:r w:rsidR="00B64FE9">
        <w:rPr>
          <w:rFonts w:ascii="Times New Roman" w:hAnsi="Times New Roman" w:cs="Times New Roman"/>
          <w:sz w:val="24"/>
          <w:szCs w:val="24"/>
        </w:rPr>
        <w:t xml:space="preserve"> countries always have the policy option of abandoning the </w:t>
      </w:r>
      <w:r w:rsidR="00B64FE9">
        <w:rPr>
          <w:rFonts w:ascii="Times New Roman" w:hAnsi="Times New Roman" w:cs="Times New Roman"/>
          <w:sz w:val="24"/>
          <w:szCs w:val="24"/>
        </w:rPr>
        <w:lastRenderedPageBreak/>
        <w:t>exchange rate peg</w:t>
      </w:r>
      <w:r w:rsidR="00EE539E">
        <w:rPr>
          <w:rFonts w:ascii="Times New Roman" w:hAnsi="Times New Roman" w:cs="Times New Roman"/>
          <w:sz w:val="24"/>
          <w:szCs w:val="24"/>
        </w:rPr>
        <w:t>s</w:t>
      </w:r>
      <w:r w:rsidR="00B64FE9">
        <w:rPr>
          <w:rFonts w:ascii="Times New Roman" w:hAnsi="Times New Roman" w:cs="Times New Roman"/>
          <w:sz w:val="24"/>
          <w:szCs w:val="24"/>
        </w:rPr>
        <w:t xml:space="preserve"> when the costs of maintaining the peg</w:t>
      </w:r>
      <w:r w:rsidR="00EE539E">
        <w:rPr>
          <w:rFonts w:ascii="Times New Roman" w:hAnsi="Times New Roman" w:cs="Times New Roman"/>
          <w:sz w:val="24"/>
          <w:szCs w:val="24"/>
        </w:rPr>
        <w:t>s</w:t>
      </w:r>
      <w:r w:rsidR="00B64FE9">
        <w:rPr>
          <w:rFonts w:ascii="Times New Roman" w:hAnsi="Times New Roman" w:cs="Times New Roman"/>
          <w:sz w:val="24"/>
          <w:szCs w:val="24"/>
        </w:rPr>
        <w:t xml:space="preserve"> following external shocks</w:t>
      </w:r>
      <w:r w:rsidR="00EE539E">
        <w:rPr>
          <w:rFonts w:ascii="Times New Roman" w:hAnsi="Times New Roman" w:cs="Times New Roman"/>
          <w:sz w:val="24"/>
          <w:szCs w:val="24"/>
        </w:rPr>
        <w:t xml:space="preserve"> exceed</w:t>
      </w:r>
      <w:r w:rsidR="00B64FE9">
        <w:rPr>
          <w:rFonts w:ascii="Times New Roman" w:hAnsi="Times New Roman" w:cs="Times New Roman"/>
          <w:sz w:val="24"/>
          <w:szCs w:val="24"/>
        </w:rPr>
        <w:t xml:space="preserve"> the benefits. </w:t>
      </w:r>
      <w:r w:rsidR="00EE539E">
        <w:rPr>
          <w:rFonts w:ascii="Times New Roman" w:hAnsi="Times New Roman" w:cs="Times New Roman"/>
          <w:sz w:val="24"/>
          <w:szCs w:val="24"/>
        </w:rPr>
        <w:t>Their</w:t>
      </w:r>
      <w:r w:rsidR="002057A3">
        <w:rPr>
          <w:rFonts w:ascii="Times New Roman" w:hAnsi="Times New Roman" w:cs="Times New Roman"/>
          <w:sz w:val="24"/>
          <w:szCs w:val="24"/>
        </w:rPr>
        <w:t xml:space="preserve"> theory contends that an exchange r</w:t>
      </w:r>
      <w:r w:rsidR="00EE539E">
        <w:rPr>
          <w:rFonts w:ascii="Times New Roman" w:hAnsi="Times New Roman" w:cs="Times New Roman"/>
          <w:sz w:val="24"/>
          <w:szCs w:val="24"/>
        </w:rPr>
        <w:t xml:space="preserve">ate </w:t>
      </w:r>
      <w:r w:rsidR="000D094B">
        <w:rPr>
          <w:rFonts w:ascii="Times New Roman" w:hAnsi="Times New Roman" w:cs="Times New Roman"/>
          <w:sz w:val="24"/>
          <w:szCs w:val="24"/>
        </w:rPr>
        <w:t xml:space="preserve">crisis is an optimal solution under these conditions. According to their theory, a “shadow devaluation rate” – </w:t>
      </w:r>
      <w:r w:rsidR="000D094B">
        <w:rPr>
          <w:rFonts w:cstheme="minorHAnsi"/>
        </w:rPr>
        <w:t>Δ</w:t>
      </w:r>
      <m:oMath>
        <m:acc>
          <m:accPr>
            <m:chr m:val="̃"/>
            <m:ctrlPr>
              <w:rPr>
                <w:rFonts w:ascii="Cambria Math" w:hAnsi="Cambria Math" w:cstheme="minorHAnsi"/>
                <w:i/>
              </w:rPr>
            </m:ctrlPr>
          </m:accPr>
          <m:e>
            <m:r>
              <w:rPr>
                <w:rFonts w:ascii="Cambria Math" w:hAnsi="Cambria Math" w:cstheme="minorHAnsi"/>
              </w:rPr>
              <m:t>s</m:t>
            </m:r>
          </m:e>
        </m:acc>
      </m:oMath>
      <w:r w:rsidR="000D094B">
        <w:rPr>
          <w:vertAlign w:val="subscript"/>
        </w:rPr>
        <w:t xml:space="preserve">I  </w:t>
      </w:r>
      <w:r w:rsidR="000D094B">
        <w:rPr>
          <w:rFonts w:ascii="Times New Roman" w:hAnsi="Times New Roman" w:cs="Times New Roman"/>
          <w:sz w:val="24"/>
          <w:szCs w:val="24"/>
        </w:rPr>
        <w:t xml:space="preserve">– exists that equals the percentage change in the exchange rate when a devaluation is pursued by policymakers. This rate is </w:t>
      </w:r>
      <w:r w:rsidR="00B55EFF">
        <w:rPr>
          <w:rFonts w:ascii="Times New Roman" w:hAnsi="Times New Roman" w:cs="Times New Roman"/>
          <w:sz w:val="24"/>
          <w:szCs w:val="24"/>
        </w:rPr>
        <w:t xml:space="preserve">also </w:t>
      </w:r>
      <w:r w:rsidR="000D094B">
        <w:rPr>
          <w:rFonts w:ascii="Times New Roman" w:hAnsi="Times New Roman" w:cs="Times New Roman"/>
          <w:sz w:val="24"/>
          <w:szCs w:val="24"/>
        </w:rPr>
        <w:t>equal to the observed rate of depreciation in a realignment in a situation in which policymakers defend the bands of the peg</w:t>
      </w:r>
      <w:r w:rsidR="00B55EFF">
        <w:rPr>
          <w:rFonts w:ascii="Times New Roman" w:hAnsi="Times New Roman" w:cs="Times New Roman"/>
          <w:sz w:val="24"/>
          <w:szCs w:val="24"/>
        </w:rPr>
        <w:t>, which follows the model of</w:t>
      </w:r>
      <w:r w:rsidR="000D094B">
        <w:rPr>
          <w:rFonts w:ascii="Times New Roman" w:hAnsi="Times New Roman" w:cs="Times New Roman"/>
          <w:sz w:val="24"/>
          <w:szCs w:val="24"/>
        </w:rPr>
        <w:t xml:space="preserve"> Bertola and Caballero. </w:t>
      </w:r>
      <w:r w:rsidR="00021CFF">
        <w:rPr>
          <w:rFonts w:ascii="Times New Roman" w:hAnsi="Times New Roman" w:cs="Times New Roman"/>
          <w:sz w:val="24"/>
          <w:szCs w:val="24"/>
        </w:rPr>
        <w:t>The depreciated exchange rate and the deva</w:t>
      </w:r>
      <w:r w:rsidR="00EE539E">
        <w:rPr>
          <w:rFonts w:ascii="Times New Roman" w:hAnsi="Times New Roman" w:cs="Times New Roman"/>
          <w:sz w:val="24"/>
          <w:szCs w:val="24"/>
        </w:rPr>
        <w:t>lu</w:t>
      </w:r>
      <w:r w:rsidR="00021CFF">
        <w:rPr>
          <w:rFonts w:ascii="Times New Roman" w:hAnsi="Times New Roman" w:cs="Times New Roman"/>
          <w:sz w:val="24"/>
          <w:szCs w:val="24"/>
        </w:rPr>
        <w:t>ed</w:t>
      </w:r>
      <w:r w:rsidR="004A1E59">
        <w:rPr>
          <w:rFonts w:ascii="Times New Roman" w:hAnsi="Times New Roman" w:cs="Times New Roman"/>
          <w:sz w:val="24"/>
          <w:szCs w:val="24"/>
        </w:rPr>
        <w:t xml:space="preserve"> exchange rate in realigned bands reflect the two policy decisions that can be pursued</w:t>
      </w:r>
      <w:r w:rsidR="00B55EFF">
        <w:rPr>
          <w:rFonts w:ascii="Times New Roman" w:hAnsi="Times New Roman" w:cs="Times New Roman"/>
          <w:sz w:val="24"/>
          <w:szCs w:val="24"/>
        </w:rPr>
        <w:t xml:space="preserve"> under extreme external shocks</w:t>
      </w:r>
      <w:r w:rsidR="004A1E59">
        <w:rPr>
          <w:rFonts w:ascii="Times New Roman" w:hAnsi="Times New Roman" w:cs="Times New Roman"/>
          <w:sz w:val="24"/>
          <w:szCs w:val="24"/>
        </w:rPr>
        <w:t xml:space="preserve">. The decision to </w:t>
      </w:r>
      <w:r w:rsidR="00EE539E">
        <w:rPr>
          <w:rFonts w:ascii="Times New Roman" w:hAnsi="Times New Roman" w:cs="Times New Roman"/>
          <w:sz w:val="24"/>
          <w:szCs w:val="24"/>
        </w:rPr>
        <w:t xml:space="preserve">depreciate or </w:t>
      </w:r>
      <w:r w:rsidR="004A1E59">
        <w:rPr>
          <w:rFonts w:ascii="Times New Roman" w:hAnsi="Times New Roman" w:cs="Times New Roman"/>
          <w:sz w:val="24"/>
          <w:szCs w:val="24"/>
        </w:rPr>
        <w:t>devalue</w:t>
      </w:r>
      <w:r w:rsidR="00EE539E">
        <w:rPr>
          <w:rFonts w:ascii="Times New Roman" w:hAnsi="Times New Roman" w:cs="Times New Roman"/>
          <w:sz w:val="24"/>
          <w:szCs w:val="24"/>
        </w:rPr>
        <w:t xml:space="preserve"> and</w:t>
      </w:r>
      <w:r w:rsidR="004A1E59">
        <w:rPr>
          <w:rFonts w:ascii="Times New Roman" w:hAnsi="Times New Roman" w:cs="Times New Roman"/>
          <w:sz w:val="24"/>
          <w:szCs w:val="24"/>
        </w:rPr>
        <w:t xml:space="preserve"> realign depends on the “shadow devaluation rate” which is a function of fundamentals modelled as</w:t>
      </w:r>
      <w:r w:rsidR="00462F3C">
        <w:rPr>
          <w:rFonts w:ascii="Times New Roman" w:hAnsi="Times New Roman" w:cs="Times New Roman"/>
          <w:sz w:val="24"/>
          <w:szCs w:val="24"/>
        </w:rPr>
        <w:t>:</w:t>
      </w:r>
    </w:p>
    <w:p w14:paraId="61AE373D" w14:textId="6D47E185" w:rsidR="00462F3C" w:rsidRDefault="00462F3C" w:rsidP="00462F3C">
      <w:pPr>
        <w:spacing w:line="360" w:lineRule="auto"/>
        <w:ind w:left="2880" w:hanging="2160"/>
        <w:rPr>
          <w:rFonts w:ascii="Times New Roman" w:hAnsi="Times New Roman" w:cs="Times New Roman"/>
          <w:sz w:val="24"/>
          <w:szCs w:val="24"/>
        </w:rPr>
      </w:pPr>
      <w:r>
        <w:rPr>
          <w:rFonts w:ascii="Times New Roman" w:hAnsi="Times New Roman" w:cs="Times New Roman"/>
          <w:sz w:val="24"/>
          <w:szCs w:val="24"/>
        </w:rPr>
        <w:t>(2)</w:t>
      </w:r>
      <w:r w:rsidR="004A1E59">
        <w:rPr>
          <w:rFonts w:ascii="Times New Roman" w:hAnsi="Times New Roman" w:cs="Times New Roman"/>
          <w:sz w:val="24"/>
          <w:szCs w:val="24"/>
        </w:rPr>
        <w:t xml:space="preserve"> </w:t>
      </w:r>
      <w:r>
        <w:rPr>
          <w:rFonts w:ascii="Times New Roman" w:hAnsi="Times New Roman" w:cs="Times New Roman"/>
          <w:sz w:val="24"/>
          <w:szCs w:val="24"/>
        </w:rPr>
        <w:tab/>
      </w:r>
      <w:r w:rsidR="004A1E59">
        <w:rPr>
          <w:rFonts w:cstheme="minorHAnsi"/>
        </w:rPr>
        <w:t>Δ</w:t>
      </w:r>
      <m:oMath>
        <m:acc>
          <m:accPr>
            <m:chr m:val="̃"/>
            <m:ctrlPr>
              <w:rPr>
                <w:rFonts w:ascii="Cambria Math" w:hAnsi="Cambria Math" w:cstheme="minorHAnsi"/>
                <w:i/>
              </w:rPr>
            </m:ctrlPr>
          </m:accPr>
          <m:e>
            <m:r>
              <w:rPr>
                <w:rFonts w:ascii="Cambria Math" w:hAnsi="Cambria Math" w:cstheme="minorHAnsi"/>
              </w:rPr>
              <m:t>s</m:t>
            </m:r>
          </m:e>
        </m:acc>
      </m:oMath>
      <w:r w:rsidR="004A1E59">
        <w:rPr>
          <w:vertAlign w:val="subscript"/>
        </w:rPr>
        <w:t>i</w:t>
      </w:r>
      <w:r w:rsidR="004A1E59">
        <w:t xml:space="preserve"> = </w:t>
      </w:r>
      <w:r w:rsidR="004A1E59" w:rsidRPr="004A1E59">
        <w:rPr>
          <w:rFonts w:ascii="Times New Roman" w:hAnsi="Times New Roman" w:cs="Times New Roman"/>
          <w:sz w:val="24"/>
          <w:szCs w:val="24"/>
        </w:rPr>
        <w:t>Aw</w:t>
      </w:r>
      <w:r w:rsidR="004A1E59" w:rsidRPr="004A1E59">
        <w:rPr>
          <w:rFonts w:ascii="Times New Roman" w:hAnsi="Times New Roman" w:cs="Times New Roman"/>
          <w:sz w:val="24"/>
          <w:szCs w:val="24"/>
          <w:vertAlign w:val="subscript"/>
        </w:rPr>
        <w:t>i</w:t>
      </w:r>
      <w:r w:rsidR="004A1E59" w:rsidRPr="004A1E59">
        <w:rPr>
          <w:rFonts w:ascii="Times New Roman" w:hAnsi="Times New Roman" w:cs="Times New Roman"/>
          <w:sz w:val="24"/>
          <w:szCs w:val="24"/>
        </w:rPr>
        <w:t xml:space="preserve"> + Bo</w:t>
      </w:r>
      <w:r w:rsidR="004A1E59" w:rsidRPr="004A1E59">
        <w:rPr>
          <w:rFonts w:ascii="Times New Roman" w:hAnsi="Times New Roman" w:cs="Times New Roman"/>
          <w:sz w:val="24"/>
          <w:szCs w:val="24"/>
          <w:vertAlign w:val="subscript"/>
        </w:rPr>
        <w:t>i</w:t>
      </w:r>
      <w:r w:rsidR="004A1E59" w:rsidRPr="004A1E59">
        <w:rPr>
          <w:rFonts w:ascii="Times New Roman" w:hAnsi="Times New Roman" w:cs="Times New Roman"/>
          <w:sz w:val="24"/>
          <w:szCs w:val="24"/>
        </w:rPr>
        <w:t xml:space="preserve"> + Cv</w:t>
      </w:r>
      <w:r w:rsidR="004A1E59" w:rsidRPr="004A1E59">
        <w:rPr>
          <w:rFonts w:ascii="Times New Roman" w:hAnsi="Times New Roman" w:cs="Times New Roman"/>
          <w:sz w:val="24"/>
          <w:szCs w:val="24"/>
          <w:vertAlign w:val="subscript"/>
        </w:rPr>
        <w:t>i</w:t>
      </w:r>
      <w:r w:rsidR="004A1E59" w:rsidRPr="004A1E59">
        <w:rPr>
          <w:rFonts w:ascii="Times New Roman" w:hAnsi="Times New Roman" w:cs="Times New Roman"/>
          <w:sz w:val="24"/>
          <w:szCs w:val="24"/>
        </w:rPr>
        <w:t xml:space="preserve"> – p*</w:t>
      </w:r>
    </w:p>
    <w:p w14:paraId="159B7BCC" w14:textId="5508DF90" w:rsidR="007D137A" w:rsidRDefault="004A1E59" w:rsidP="004722B0">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 equals the log of the domestic wage level, o indicates an index of domestic policy goals like price or unemployment targets, p* is the price level of the center country in the exchange rate regime, and v is a variable for external shocks. It is evident </w:t>
      </w:r>
      <w:r w:rsidRPr="001873EA">
        <w:rPr>
          <w:rFonts w:ascii="Times New Roman" w:hAnsi="Times New Roman" w:cs="Times New Roman"/>
          <w:sz w:val="24"/>
          <w:szCs w:val="24"/>
        </w:rPr>
        <w:t>from this model that higher wage-inflation rates</w:t>
      </w:r>
      <w:r w:rsidR="001873EA" w:rsidRPr="001873EA">
        <w:rPr>
          <w:rFonts w:ascii="Times New Roman" w:hAnsi="Times New Roman" w:cs="Times New Roman"/>
          <w:sz w:val="24"/>
          <w:szCs w:val="24"/>
        </w:rPr>
        <w:t xml:space="preserve"> (high w)</w:t>
      </w:r>
      <w:r w:rsidRPr="001873EA">
        <w:rPr>
          <w:rFonts w:ascii="Times New Roman" w:hAnsi="Times New Roman" w:cs="Times New Roman"/>
          <w:sz w:val="24"/>
          <w:szCs w:val="24"/>
        </w:rPr>
        <w:t xml:space="preserve"> and overambitious policy goals (high</w:t>
      </w:r>
      <w:r w:rsidR="001873EA" w:rsidRPr="001873EA">
        <w:rPr>
          <w:rFonts w:ascii="Times New Roman" w:hAnsi="Times New Roman" w:cs="Times New Roman"/>
          <w:sz w:val="24"/>
          <w:szCs w:val="24"/>
        </w:rPr>
        <w:t xml:space="preserve"> o) lead to higher Δ</w:t>
      </w:r>
      <m:oMath>
        <m:acc>
          <m:accPr>
            <m:chr m:val="̃"/>
            <m:ctrlPr>
              <w:rPr>
                <w:rFonts w:ascii="Cambria Math" w:hAnsi="Cambria Math" w:cs="Times New Roman"/>
                <w:i/>
                <w:sz w:val="24"/>
                <w:szCs w:val="24"/>
              </w:rPr>
            </m:ctrlPr>
          </m:accPr>
          <m:e>
            <m:r>
              <w:rPr>
                <w:rFonts w:ascii="Cambria Math" w:hAnsi="Cambria Math" w:cs="Times New Roman"/>
                <w:sz w:val="24"/>
                <w:szCs w:val="24"/>
              </w:rPr>
              <m:t>s</m:t>
            </m:r>
          </m:e>
        </m:acc>
      </m:oMath>
      <w:r w:rsidR="001873EA">
        <w:rPr>
          <w:rFonts w:ascii="Times New Roman" w:hAnsi="Times New Roman" w:cs="Times New Roman"/>
          <w:sz w:val="24"/>
          <w:szCs w:val="24"/>
          <w:vertAlign w:val="subscript"/>
        </w:rPr>
        <w:t>i</w:t>
      </w:r>
      <w:r w:rsidR="00B55EFF">
        <w:t xml:space="preserve">. </w:t>
      </w:r>
      <w:r w:rsidR="00B55EFF">
        <w:rPr>
          <w:rFonts w:ascii="Times New Roman" w:hAnsi="Times New Roman" w:cs="Times New Roman"/>
          <w:sz w:val="24"/>
          <w:szCs w:val="24"/>
        </w:rPr>
        <w:t>This value changes based on the policy preferences of each respective country and contributes to the tension of the ERM, particularly when hit with external shocks.</w:t>
      </w:r>
      <w:r w:rsidR="00B55EFF">
        <w:rPr>
          <w:rFonts w:ascii="Times New Roman" w:hAnsi="Times New Roman" w:cs="Times New Roman"/>
          <w:sz w:val="24"/>
          <w:szCs w:val="24"/>
        </w:rPr>
        <w:t xml:space="preserve"> </w:t>
      </w:r>
      <w:r w:rsidR="00E30BC2">
        <w:rPr>
          <w:rFonts w:ascii="Times New Roman" w:hAnsi="Times New Roman" w:cs="Times New Roman"/>
          <w:sz w:val="24"/>
          <w:szCs w:val="24"/>
        </w:rPr>
        <w:t>Th</w:t>
      </w:r>
      <w:r w:rsidR="001873EA">
        <w:rPr>
          <w:rFonts w:ascii="Times New Roman" w:hAnsi="Times New Roman" w:cs="Times New Roman"/>
          <w:sz w:val="24"/>
          <w:szCs w:val="24"/>
        </w:rPr>
        <w:t xml:space="preserve">e </w:t>
      </w:r>
      <w:r w:rsidR="00021CFF">
        <w:rPr>
          <w:rFonts w:ascii="Times New Roman" w:hAnsi="Times New Roman" w:cs="Times New Roman"/>
          <w:sz w:val="24"/>
          <w:szCs w:val="24"/>
        </w:rPr>
        <w:t xml:space="preserve">exchange rate </w:t>
      </w:r>
      <w:r w:rsidR="00474EF3">
        <w:rPr>
          <w:rFonts w:ascii="Times New Roman" w:hAnsi="Times New Roman" w:cs="Times New Roman"/>
          <w:sz w:val="24"/>
          <w:szCs w:val="24"/>
        </w:rPr>
        <w:t>crisis option will be chosen if</w:t>
      </w:r>
      <w:r w:rsidR="00021CFF">
        <w:rPr>
          <w:rFonts w:ascii="Times New Roman" w:hAnsi="Times New Roman" w:cs="Times New Roman"/>
          <w:sz w:val="24"/>
          <w:szCs w:val="24"/>
        </w:rPr>
        <w:t xml:space="preserve"> </w:t>
      </w:r>
      <w:r w:rsidR="00021CFF" w:rsidRPr="001873EA">
        <w:rPr>
          <w:rFonts w:ascii="Times New Roman" w:hAnsi="Times New Roman" w:cs="Times New Roman"/>
          <w:sz w:val="24"/>
          <w:szCs w:val="24"/>
        </w:rPr>
        <w:t>Δ</w:t>
      </w:r>
      <m:oMath>
        <m:acc>
          <m:accPr>
            <m:chr m:val="̃"/>
            <m:ctrlPr>
              <w:rPr>
                <w:rFonts w:ascii="Cambria Math" w:hAnsi="Cambria Math" w:cs="Times New Roman"/>
                <w:i/>
                <w:sz w:val="24"/>
                <w:szCs w:val="24"/>
              </w:rPr>
            </m:ctrlPr>
          </m:accPr>
          <m:e>
            <m:r>
              <w:rPr>
                <w:rFonts w:ascii="Cambria Math" w:hAnsi="Cambria Math" w:cs="Times New Roman"/>
                <w:sz w:val="24"/>
                <w:szCs w:val="24"/>
              </w:rPr>
              <m:t>s</m:t>
            </m:r>
          </m:e>
        </m:acc>
      </m:oMath>
      <w:r w:rsidR="00021CFF">
        <w:rPr>
          <w:rFonts w:ascii="Times New Roman" w:hAnsi="Times New Roman" w:cs="Times New Roman"/>
          <w:sz w:val="24"/>
          <w:szCs w:val="24"/>
          <w:vertAlign w:val="subscript"/>
        </w:rPr>
        <w:t xml:space="preserve">i </w:t>
      </w:r>
      <w:r w:rsidR="00021CFF">
        <w:rPr>
          <w:rFonts w:ascii="Times New Roman" w:hAnsi="Times New Roman" w:cs="Times New Roman"/>
          <w:sz w:val="24"/>
          <w:szCs w:val="24"/>
        </w:rPr>
        <w:t>exceeds the reputational and political costs of a devaluation</w:t>
      </w:r>
      <w:r w:rsidR="007B6B91">
        <w:rPr>
          <w:rFonts w:ascii="Times New Roman" w:hAnsi="Times New Roman" w:cs="Times New Roman"/>
          <w:sz w:val="24"/>
          <w:szCs w:val="24"/>
        </w:rPr>
        <w:t>.</w:t>
      </w:r>
      <w:r w:rsidR="00B55EFF">
        <w:rPr>
          <w:rFonts w:ascii="Times New Roman" w:hAnsi="Times New Roman" w:cs="Times New Roman"/>
          <w:sz w:val="24"/>
          <w:szCs w:val="24"/>
        </w:rPr>
        <w:t xml:space="preserve"> </w:t>
      </w:r>
    </w:p>
    <w:p w14:paraId="1747C50C" w14:textId="372B2538" w:rsidR="00474EF3" w:rsidRDefault="00B7663F" w:rsidP="004722B0">
      <w:pPr>
        <w:spacing w:line="360" w:lineRule="auto"/>
        <w:rPr>
          <w:rFonts w:ascii="Times New Roman" w:hAnsi="Times New Roman" w:cs="Times New Roman"/>
          <w:color w:val="222222"/>
          <w:sz w:val="24"/>
          <w:szCs w:val="24"/>
        </w:rPr>
      </w:pPr>
      <w:r>
        <w:rPr>
          <w:rFonts w:ascii="Times New Roman" w:hAnsi="Times New Roman" w:cs="Times New Roman"/>
          <w:sz w:val="24"/>
          <w:szCs w:val="24"/>
        </w:rPr>
        <w:tab/>
      </w:r>
      <w:r w:rsidR="002A0750">
        <w:rPr>
          <w:rFonts w:ascii="Times New Roman" w:hAnsi="Times New Roman" w:cs="Times New Roman"/>
          <w:sz w:val="24"/>
          <w:szCs w:val="24"/>
        </w:rPr>
        <w:t>Despite the apparent convergence of many macroeconomic variables and national policies during the 1980s, the period before the crash of 1992 revealed that there still remained fundamental policy divergences that were manifested after a series of key political developments, namely the reunification of Germany</w:t>
      </w:r>
      <w:r w:rsidR="002A0750" w:rsidRPr="002A0750">
        <w:rPr>
          <w:rFonts w:ascii="Times New Roman" w:hAnsi="Times New Roman" w:cs="Times New Roman"/>
          <w:sz w:val="24"/>
          <w:szCs w:val="24"/>
        </w:rPr>
        <w:t xml:space="preserve">. The reason that the reunification of Germany shook the ERM was </w:t>
      </w:r>
      <w:r w:rsidR="0028740E">
        <w:rPr>
          <w:rFonts w:ascii="Times New Roman" w:hAnsi="Times New Roman" w:cs="Times New Roman"/>
          <w:noProof/>
          <w:sz w:val="24"/>
          <w:szCs w:val="24"/>
        </w:rPr>
        <w:t>that</w:t>
      </w:r>
      <w:r w:rsidR="002A0750" w:rsidRPr="0028740E">
        <w:rPr>
          <w:rFonts w:ascii="Times New Roman" w:hAnsi="Times New Roman" w:cs="Times New Roman"/>
          <w:noProof/>
          <w:sz w:val="24"/>
          <w:szCs w:val="24"/>
        </w:rPr>
        <w:t xml:space="preserve"> the</w:t>
      </w:r>
      <w:r w:rsidR="002A0750" w:rsidRPr="002A0750">
        <w:rPr>
          <w:rFonts w:ascii="Times New Roman" w:hAnsi="Times New Roman" w:cs="Times New Roman"/>
          <w:sz w:val="24"/>
          <w:szCs w:val="24"/>
        </w:rPr>
        <w:t xml:space="preserve"> German </w:t>
      </w:r>
      <w:r w:rsidR="002A0750" w:rsidRPr="002A0750">
        <w:rPr>
          <w:rFonts w:ascii="Times New Roman" w:hAnsi="Times New Roman" w:cs="Times New Roman"/>
          <w:color w:val="222222"/>
          <w:sz w:val="24"/>
          <w:szCs w:val="24"/>
        </w:rPr>
        <w:t>Deutsche Mark</w:t>
      </w:r>
      <w:r w:rsidR="002A0750">
        <w:rPr>
          <w:rFonts w:ascii="Times New Roman" w:hAnsi="Times New Roman" w:cs="Times New Roman"/>
          <w:color w:val="222222"/>
          <w:sz w:val="24"/>
          <w:szCs w:val="24"/>
        </w:rPr>
        <w:t xml:space="preserve"> an</w:t>
      </w:r>
      <w:r w:rsidR="00EF70AD">
        <w:rPr>
          <w:rFonts w:ascii="Times New Roman" w:hAnsi="Times New Roman" w:cs="Times New Roman"/>
          <w:color w:val="222222"/>
          <w:sz w:val="24"/>
          <w:szCs w:val="24"/>
        </w:rPr>
        <w:t xml:space="preserve">d the Deutsche Bundesbank were </w:t>
      </w:r>
      <w:r w:rsidR="002A0750">
        <w:rPr>
          <w:rFonts w:ascii="Times New Roman" w:hAnsi="Times New Roman" w:cs="Times New Roman"/>
          <w:color w:val="222222"/>
          <w:sz w:val="24"/>
          <w:szCs w:val="24"/>
        </w:rPr>
        <w:t>the “anchor” of the ERM and EMS because of their sound macroeconomic conditions, namely their low inflation and interest rates</w:t>
      </w:r>
      <w:r w:rsidR="00EE539E">
        <w:rPr>
          <w:rFonts w:ascii="Times New Roman" w:hAnsi="Times New Roman" w:cs="Times New Roman"/>
          <w:color w:val="222222"/>
          <w:sz w:val="24"/>
          <w:szCs w:val="24"/>
        </w:rPr>
        <w:t xml:space="preserve"> which </w:t>
      </w:r>
      <w:r w:rsidR="004D46BF">
        <w:rPr>
          <w:rFonts w:ascii="Times New Roman" w:hAnsi="Times New Roman" w:cs="Times New Roman"/>
          <w:color w:val="222222"/>
          <w:sz w:val="24"/>
          <w:szCs w:val="24"/>
        </w:rPr>
        <w:t>maintained</w:t>
      </w:r>
      <w:r w:rsidR="00EE539E">
        <w:rPr>
          <w:rFonts w:ascii="Times New Roman" w:hAnsi="Times New Roman" w:cs="Times New Roman"/>
          <w:color w:val="222222"/>
          <w:sz w:val="24"/>
          <w:szCs w:val="24"/>
        </w:rPr>
        <w:t xml:space="preserve"> monetary stability</w:t>
      </w:r>
      <w:r w:rsidR="002A0750">
        <w:rPr>
          <w:rFonts w:ascii="Times New Roman" w:hAnsi="Times New Roman" w:cs="Times New Roman"/>
          <w:color w:val="222222"/>
          <w:sz w:val="24"/>
          <w:szCs w:val="24"/>
        </w:rPr>
        <w:t xml:space="preserve"> (Palm 1996). All other periphery countries </w:t>
      </w:r>
      <w:r w:rsidR="00EF70AD">
        <w:rPr>
          <w:rFonts w:ascii="Times New Roman" w:hAnsi="Times New Roman" w:cs="Times New Roman"/>
          <w:color w:val="222222"/>
          <w:sz w:val="24"/>
          <w:szCs w:val="24"/>
        </w:rPr>
        <w:t xml:space="preserve">in the EMS </w:t>
      </w:r>
      <w:r w:rsidR="002A0750">
        <w:rPr>
          <w:rFonts w:ascii="Times New Roman" w:hAnsi="Times New Roman" w:cs="Times New Roman"/>
          <w:color w:val="222222"/>
          <w:sz w:val="24"/>
          <w:szCs w:val="24"/>
        </w:rPr>
        <w:t>fixed their exchange rates to the Deutsche Mark</w:t>
      </w:r>
      <w:r w:rsidR="00EF70AD">
        <w:rPr>
          <w:rFonts w:ascii="Times New Roman" w:hAnsi="Times New Roman" w:cs="Times New Roman"/>
          <w:color w:val="222222"/>
          <w:sz w:val="24"/>
          <w:szCs w:val="24"/>
        </w:rPr>
        <w:t xml:space="preserve"> in 1983</w:t>
      </w:r>
      <w:r w:rsidR="002A0750">
        <w:rPr>
          <w:rFonts w:ascii="Times New Roman" w:hAnsi="Times New Roman" w:cs="Times New Roman"/>
          <w:color w:val="222222"/>
          <w:sz w:val="24"/>
          <w:szCs w:val="24"/>
        </w:rPr>
        <w:t>. This system worked</w:t>
      </w:r>
      <w:r w:rsidR="00636909">
        <w:rPr>
          <w:rFonts w:ascii="Times New Roman" w:hAnsi="Times New Roman" w:cs="Times New Roman"/>
          <w:color w:val="222222"/>
          <w:sz w:val="24"/>
          <w:szCs w:val="24"/>
        </w:rPr>
        <w:t xml:space="preserve"> effectively</w:t>
      </w:r>
      <w:r w:rsidR="002A0750">
        <w:rPr>
          <w:rFonts w:ascii="Times New Roman" w:hAnsi="Times New Roman" w:cs="Times New Roman"/>
          <w:color w:val="222222"/>
          <w:sz w:val="24"/>
          <w:szCs w:val="24"/>
        </w:rPr>
        <w:t xml:space="preserve"> and achieved relative economic convergence and policy coordination</w:t>
      </w:r>
      <w:r w:rsidR="00EE539E">
        <w:rPr>
          <w:rFonts w:ascii="Times New Roman" w:hAnsi="Times New Roman" w:cs="Times New Roman"/>
          <w:color w:val="222222"/>
          <w:sz w:val="24"/>
          <w:szCs w:val="24"/>
        </w:rPr>
        <w:t xml:space="preserve"> for the first several years</w:t>
      </w:r>
      <w:r w:rsidR="002A0750">
        <w:rPr>
          <w:rFonts w:ascii="Times New Roman" w:hAnsi="Times New Roman" w:cs="Times New Roman"/>
          <w:color w:val="222222"/>
          <w:sz w:val="24"/>
          <w:szCs w:val="24"/>
        </w:rPr>
        <w:t xml:space="preserve">. No parity realignments were pursued after 1987, and it seemed as though the process </w:t>
      </w:r>
      <w:r w:rsidR="00EF70AD">
        <w:rPr>
          <w:rFonts w:ascii="Times New Roman" w:hAnsi="Times New Roman" w:cs="Times New Roman"/>
          <w:color w:val="222222"/>
          <w:sz w:val="24"/>
          <w:szCs w:val="24"/>
        </w:rPr>
        <w:t xml:space="preserve">of developing into </w:t>
      </w:r>
      <w:r w:rsidR="002A0750">
        <w:rPr>
          <w:rFonts w:ascii="Times New Roman" w:hAnsi="Times New Roman" w:cs="Times New Roman"/>
          <w:color w:val="222222"/>
          <w:sz w:val="24"/>
          <w:szCs w:val="24"/>
        </w:rPr>
        <w:t xml:space="preserve">a European monetary union was on track </w:t>
      </w:r>
      <w:r w:rsidR="00EF70AD">
        <w:rPr>
          <w:rFonts w:ascii="Times New Roman" w:hAnsi="Times New Roman" w:cs="Times New Roman"/>
          <w:color w:val="222222"/>
          <w:sz w:val="24"/>
          <w:szCs w:val="24"/>
        </w:rPr>
        <w:t xml:space="preserve">while </w:t>
      </w:r>
      <w:r w:rsidR="002A0750">
        <w:rPr>
          <w:rFonts w:ascii="Times New Roman" w:hAnsi="Times New Roman" w:cs="Times New Roman"/>
          <w:color w:val="222222"/>
          <w:sz w:val="24"/>
          <w:szCs w:val="24"/>
        </w:rPr>
        <w:t>anchored with Germany’s monetary stability</w:t>
      </w:r>
      <w:r w:rsidR="007571E5">
        <w:rPr>
          <w:rFonts w:ascii="Times New Roman" w:hAnsi="Times New Roman" w:cs="Times New Roman"/>
          <w:color w:val="222222"/>
          <w:sz w:val="24"/>
          <w:szCs w:val="24"/>
        </w:rPr>
        <w:t xml:space="preserve">. However, the reunification of West and East </w:t>
      </w:r>
      <w:r w:rsidR="007571E5">
        <w:rPr>
          <w:rFonts w:ascii="Times New Roman" w:hAnsi="Times New Roman" w:cs="Times New Roman"/>
          <w:color w:val="222222"/>
          <w:sz w:val="24"/>
          <w:szCs w:val="24"/>
        </w:rPr>
        <w:lastRenderedPageBreak/>
        <w:t xml:space="preserve">Germany in 1990 tested the system through a demand shock to the relatively stable German currency after Germany pursued an expansionary fiscal policy </w:t>
      </w:r>
      <w:r w:rsidR="00636909">
        <w:rPr>
          <w:rFonts w:ascii="Times New Roman" w:hAnsi="Times New Roman" w:cs="Times New Roman"/>
          <w:color w:val="222222"/>
          <w:sz w:val="24"/>
          <w:szCs w:val="24"/>
        </w:rPr>
        <w:t xml:space="preserve">to accommodate the relatively underdeveloped East Germany </w:t>
      </w:r>
      <w:r w:rsidR="007571E5">
        <w:rPr>
          <w:rFonts w:ascii="Times New Roman" w:hAnsi="Times New Roman" w:cs="Times New Roman"/>
          <w:color w:val="222222"/>
          <w:sz w:val="24"/>
          <w:szCs w:val="24"/>
        </w:rPr>
        <w:t>(Svensson 1994).</w:t>
      </w:r>
    </w:p>
    <w:p w14:paraId="0CD32081" w14:textId="7DD1757A" w:rsidR="007571E5" w:rsidRDefault="007571E5" w:rsidP="004722B0">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sidR="00EE539E">
        <w:rPr>
          <w:rFonts w:ascii="Times New Roman" w:hAnsi="Times New Roman" w:cs="Times New Roman"/>
          <w:color w:val="222222"/>
          <w:sz w:val="24"/>
          <w:szCs w:val="24"/>
        </w:rPr>
        <w:t>The</w:t>
      </w:r>
      <w:r w:rsidR="000E59AA">
        <w:rPr>
          <w:rFonts w:ascii="Times New Roman" w:hAnsi="Times New Roman" w:cs="Times New Roman"/>
          <w:color w:val="222222"/>
          <w:sz w:val="24"/>
          <w:szCs w:val="24"/>
        </w:rPr>
        <w:t xml:space="preserve"> demand shock dramatic</w:t>
      </w:r>
      <w:r w:rsidR="000A3201">
        <w:rPr>
          <w:rFonts w:ascii="Times New Roman" w:hAnsi="Times New Roman" w:cs="Times New Roman"/>
          <w:color w:val="222222"/>
          <w:sz w:val="24"/>
          <w:szCs w:val="24"/>
        </w:rPr>
        <w:t>ally impacted</w:t>
      </w:r>
      <w:r>
        <w:rPr>
          <w:rFonts w:ascii="Times New Roman" w:hAnsi="Times New Roman" w:cs="Times New Roman"/>
          <w:color w:val="222222"/>
          <w:sz w:val="24"/>
          <w:szCs w:val="24"/>
        </w:rPr>
        <w:t xml:space="preserve"> Germany at the center of </w:t>
      </w:r>
      <w:r w:rsidR="000E59AA">
        <w:rPr>
          <w:rFonts w:ascii="Times New Roman" w:hAnsi="Times New Roman" w:cs="Times New Roman"/>
          <w:color w:val="222222"/>
          <w:sz w:val="24"/>
          <w:szCs w:val="24"/>
        </w:rPr>
        <w:t xml:space="preserve">the ERM </w:t>
      </w:r>
      <w:r w:rsidR="000A3201">
        <w:rPr>
          <w:rFonts w:ascii="Times New Roman" w:hAnsi="Times New Roman" w:cs="Times New Roman"/>
          <w:color w:val="222222"/>
          <w:sz w:val="24"/>
          <w:szCs w:val="24"/>
        </w:rPr>
        <w:t xml:space="preserve">and </w:t>
      </w:r>
      <w:r w:rsidR="000E59AA">
        <w:rPr>
          <w:rFonts w:ascii="Times New Roman" w:hAnsi="Times New Roman" w:cs="Times New Roman"/>
          <w:color w:val="222222"/>
          <w:sz w:val="24"/>
          <w:szCs w:val="24"/>
        </w:rPr>
        <w:t xml:space="preserve">resulted in a real appreciation of the Deutsche Mark. Germany had two possible responses to this real appreciation: pursue a monetary expansion to absorb the shock and maintain lower interest rates, or pursue a general realignment </w:t>
      </w:r>
      <w:r w:rsidR="00EE539E">
        <w:rPr>
          <w:rFonts w:ascii="Times New Roman" w:hAnsi="Times New Roman" w:cs="Times New Roman"/>
          <w:color w:val="222222"/>
          <w:sz w:val="24"/>
          <w:szCs w:val="24"/>
        </w:rPr>
        <w:t>revaluation</w:t>
      </w:r>
      <w:r w:rsidR="000E59AA">
        <w:rPr>
          <w:rFonts w:ascii="Times New Roman" w:hAnsi="Times New Roman" w:cs="Times New Roman"/>
          <w:color w:val="222222"/>
          <w:sz w:val="24"/>
          <w:szCs w:val="24"/>
        </w:rPr>
        <w:t xml:space="preserve"> against the peg.</w:t>
      </w:r>
      <w:r w:rsidR="0015467C">
        <w:rPr>
          <w:rFonts w:ascii="Times New Roman" w:hAnsi="Times New Roman" w:cs="Times New Roman"/>
          <w:color w:val="222222"/>
          <w:sz w:val="24"/>
          <w:szCs w:val="24"/>
        </w:rPr>
        <w:t xml:space="preserve"> The option to pursue a monetary expansion</w:t>
      </w:r>
      <w:r w:rsidR="00EF70AD">
        <w:rPr>
          <w:rFonts w:ascii="Times New Roman" w:hAnsi="Times New Roman" w:cs="Times New Roman"/>
          <w:color w:val="222222"/>
          <w:sz w:val="24"/>
          <w:szCs w:val="24"/>
        </w:rPr>
        <w:t xml:space="preserve"> wa</w:t>
      </w:r>
      <w:r w:rsidR="00FC625A">
        <w:rPr>
          <w:rFonts w:ascii="Times New Roman" w:hAnsi="Times New Roman" w:cs="Times New Roman"/>
          <w:color w:val="222222"/>
          <w:sz w:val="24"/>
          <w:szCs w:val="24"/>
        </w:rPr>
        <w:t xml:space="preserve">s unattractive </w:t>
      </w:r>
      <w:r w:rsidR="00EF70AD">
        <w:rPr>
          <w:rFonts w:ascii="Times New Roman" w:hAnsi="Times New Roman" w:cs="Times New Roman"/>
          <w:color w:val="222222"/>
          <w:sz w:val="24"/>
          <w:szCs w:val="24"/>
        </w:rPr>
        <w:t xml:space="preserve">to Germany </w:t>
      </w:r>
      <w:r w:rsidR="00FC625A">
        <w:rPr>
          <w:rFonts w:ascii="Times New Roman" w:hAnsi="Times New Roman" w:cs="Times New Roman"/>
          <w:color w:val="222222"/>
          <w:sz w:val="24"/>
          <w:szCs w:val="24"/>
        </w:rPr>
        <w:t>because it</w:t>
      </w:r>
      <w:r w:rsidR="00EF70AD">
        <w:rPr>
          <w:rFonts w:ascii="Times New Roman" w:hAnsi="Times New Roman" w:cs="Times New Roman"/>
          <w:color w:val="222222"/>
          <w:sz w:val="24"/>
          <w:szCs w:val="24"/>
        </w:rPr>
        <w:t xml:space="preserve"> would</w:t>
      </w:r>
      <w:r w:rsidR="00FC625A">
        <w:rPr>
          <w:rFonts w:ascii="Times New Roman" w:hAnsi="Times New Roman" w:cs="Times New Roman"/>
          <w:color w:val="222222"/>
          <w:sz w:val="24"/>
          <w:szCs w:val="24"/>
        </w:rPr>
        <w:t xml:space="preserve"> lea</w:t>
      </w:r>
      <w:r w:rsidR="00EF70AD">
        <w:rPr>
          <w:rFonts w:ascii="Times New Roman" w:hAnsi="Times New Roman" w:cs="Times New Roman"/>
          <w:color w:val="222222"/>
          <w:sz w:val="24"/>
          <w:szCs w:val="24"/>
        </w:rPr>
        <w:t xml:space="preserve">d </w:t>
      </w:r>
      <w:r w:rsidR="00FC625A">
        <w:rPr>
          <w:rFonts w:ascii="Times New Roman" w:hAnsi="Times New Roman" w:cs="Times New Roman"/>
          <w:color w:val="222222"/>
          <w:sz w:val="24"/>
          <w:szCs w:val="24"/>
        </w:rPr>
        <w:t>to</w:t>
      </w:r>
      <w:r w:rsidR="000A3201">
        <w:rPr>
          <w:rFonts w:ascii="Times New Roman" w:hAnsi="Times New Roman" w:cs="Times New Roman"/>
          <w:color w:val="222222"/>
          <w:sz w:val="24"/>
          <w:szCs w:val="24"/>
        </w:rPr>
        <w:t xml:space="preserve"> higher</w:t>
      </w:r>
      <w:r w:rsidR="00FC625A">
        <w:rPr>
          <w:rFonts w:ascii="Times New Roman" w:hAnsi="Times New Roman" w:cs="Times New Roman"/>
          <w:color w:val="222222"/>
          <w:sz w:val="24"/>
          <w:szCs w:val="24"/>
        </w:rPr>
        <w:t xml:space="preserve"> inflation, and Germany sought price stability</w:t>
      </w:r>
      <w:r w:rsidR="000A3201">
        <w:rPr>
          <w:rFonts w:ascii="Times New Roman" w:hAnsi="Times New Roman" w:cs="Times New Roman"/>
          <w:color w:val="222222"/>
          <w:sz w:val="24"/>
          <w:szCs w:val="24"/>
        </w:rPr>
        <w:t xml:space="preserve"> as a policy goal</w:t>
      </w:r>
      <w:r w:rsidR="00FC625A">
        <w:rPr>
          <w:rFonts w:ascii="Times New Roman" w:hAnsi="Times New Roman" w:cs="Times New Roman"/>
          <w:color w:val="222222"/>
          <w:sz w:val="24"/>
          <w:szCs w:val="24"/>
        </w:rPr>
        <w:t>. To the peripheral countries’ detriment, the Deutsche Bundesbank advocated for a general realignment to accommodate for its currency appreciation</w:t>
      </w:r>
      <w:r w:rsidR="00D1245E">
        <w:rPr>
          <w:rFonts w:ascii="Times New Roman" w:hAnsi="Times New Roman" w:cs="Times New Roman"/>
          <w:color w:val="222222"/>
          <w:sz w:val="24"/>
          <w:szCs w:val="24"/>
        </w:rPr>
        <w:t xml:space="preserve"> (Buiter et al 1998)</w:t>
      </w:r>
      <w:r w:rsidR="00FC625A">
        <w:rPr>
          <w:rFonts w:ascii="Times New Roman" w:hAnsi="Times New Roman" w:cs="Times New Roman"/>
          <w:color w:val="222222"/>
          <w:sz w:val="24"/>
          <w:szCs w:val="24"/>
        </w:rPr>
        <w:t xml:space="preserve">. However, this </w:t>
      </w:r>
      <w:r w:rsidR="000A3201">
        <w:rPr>
          <w:rFonts w:ascii="Times New Roman" w:hAnsi="Times New Roman" w:cs="Times New Roman"/>
          <w:color w:val="222222"/>
          <w:sz w:val="24"/>
          <w:szCs w:val="24"/>
        </w:rPr>
        <w:t xml:space="preserve">realignment </w:t>
      </w:r>
      <w:r w:rsidR="00FC625A">
        <w:rPr>
          <w:rFonts w:ascii="Times New Roman" w:hAnsi="Times New Roman" w:cs="Times New Roman"/>
          <w:color w:val="222222"/>
          <w:sz w:val="24"/>
          <w:szCs w:val="24"/>
        </w:rPr>
        <w:t>would have required all peripheral count</w:t>
      </w:r>
      <w:r w:rsidR="00ED67F9">
        <w:rPr>
          <w:rFonts w:ascii="Times New Roman" w:hAnsi="Times New Roman" w:cs="Times New Roman"/>
          <w:color w:val="222222"/>
          <w:sz w:val="24"/>
          <w:szCs w:val="24"/>
        </w:rPr>
        <w:t>ries to devalue</w:t>
      </w:r>
      <w:r w:rsidR="00FC625A">
        <w:rPr>
          <w:rFonts w:ascii="Times New Roman" w:hAnsi="Times New Roman" w:cs="Times New Roman"/>
          <w:color w:val="222222"/>
          <w:sz w:val="24"/>
          <w:szCs w:val="24"/>
        </w:rPr>
        <w:t xml:space="preserve"> their currencies against the Deutsche Mark, which was an unpopular option </w:t>
      </w:r>
      <w:r w:rsidR="00BF1FFA">
        <w:rPr>
          <w:rFonts w:ascii="Times New Roman" w:hAnsi="Times New Roman" w:cs="Times New Roman"/>
          <w:color w:val="222222"/>
          <w:sz w:val="24"/>
          <w:szCs w:val="24"/>
        </w:rPr>
        <w:t>considering many</w:t>
      </w:r>
      <w:r w:rsidR="00ED67F9">
        <w:rPr>
          <w:rFonts w:ascii="Times New Roman" w:hAnsi="Times New Roman" w:cs="Times New Roman"/>
          <w:color w:val="222222"/>
          <w:sz w:val="24"/>
          <w:szCs w:val="24"/>
        </w:rPr>
        <w:t xml:space="preserve"> countries leading up to that moment were experiencing</w:t>
      </w:r>
      <w:r w:rsidR="00BF1FFA">
        <w:rPr>
          <w:rFonts w:ascii="Times New Roman" w:hAnsi="Times New Roman" w:cs="Times New Roman"/>
          <w:color w:val="222222"/>
          <w:sz w:val="24"/>
          <w:szCs w:val="24"/>
        </w:rPr>
        <w:t xml:space="preserve"> strong</w:t>
      </w:r>
      <w:r w:rsidR="00ED67F9">
        <w:rPr>
          <w:rFonts w:ascii="Times New Roman" w:hAnsi="Times New Roman" w:cs="Times New Roman"/>
          <w:color w:val="222222"/>
          <w:sz w:val="24"/>
          <w:szCs w:val="24"/>
        </w:rPr>
        <w:t xml:space="preserve"> currency appreciations against the Deutsche Mark (Svensson 1994). Dev</w:t>
      </w:r>
      <w:r w:rsidR="00EF70AD">
        <w:rPr>
          <w:rFonts w:ascii="Times New Roman" w:hAnsi="Times New Roman" w:cs="Times New Roman"/>
          <w:color w:val="222222"/>
          <w:sz w:val="24"/>
          <w:szCs w:val="24"/>
        </w:rPr>
        <w:t>aluation also carried</w:t>
      </w:r>
      <w:r w:rsidR="00ED67F9">
        <w:rPr>
          <w:rFonts w:ascii="Times New Roman" w:hAnsi="Times New Roman" w:cs="Times New Roman"/>
          <w:color w:val="222222"/>
          <w:sz w:val="24"/>
          <w:szCs w:val="24"/>
        </w:rPr>
        <w:t xml:space="preserve"> additional political and credibility costs on countries and </w:t>
      </w:r>
      <w:r w:rsidR="00EF70AD">
        <w:rPr>
          <w:rFonts w:ascii="Times New Roman" w:hAnsi="Times New Roman" w:cs="Times New Roman"/>
          <w:color w:val="222222"/>
          <w:sz w:val="24"/>
          <w:szCs w:val="24"/>
        </w:rPr>
        <w:t>the E</w:t>
      </w:r>
      <w:r w:rsidR="00ED67F9">
        <w:rPr>
          <w:rFonts w:ascii="Times New Roman" w:hAnsi="Times New Roman" w:cs="Times New Roman"/>
          <w:color w:val="222222"/>
          <w:sz w:val="24"/>
          <w:szCs w:val="24"/>
        </w:rPr>
        <w:t>RM system</w:t>
      </w:r>
      <w:r w:rsidR="00EE539E">
        <w:rPr>
          <w:rFonts w:ascii="Times New Roman" w:hAnsi="Times New Roman" w:cs="Times New Roman"/>
          <w:color w:val="222222"/>
          <w:sz w:val="24"/>
          <w:szCs w:val="24"/>
        </w:rPr>
        <w:t>, making it an unpopular policy option</w:t>
      </w:r>
      <w:r w:rsidR="00ED67F9">
        <w:rPr>
          <w:rFonts w:ascii="Times New Roman" w:hAnsi="Times New Roman" w:cs="Times New Roman"/>
          <w:color w:val="222222"/>
          <w:sz w:val="24"/>
          <w:szCs w:val="24"/>
        </w:rPr>
        <w:t>.</w:t>
      </w:r>
    </w:p>
    <w:p w14:paraId="39160A3E" w14:textId="51408C8C" w:rsidR="00342737" w:rsidRDefault="00D1245E" w:rsidP="004722B0">
      <w:pPr>
        <w:spacing w:line="360" w:lineRule="auto"/>
        <w:rPr>
          <w:rFonts w:ascii="Times New Roman" w:hAnsi="Times New Roman" w:cs="Times New Roman"/>
          <w:sz w:val="24"/>
          <w:szCs w:val="24"/>
        </w:rPr>
      </w:pPr>
      <w:r>
        <w:rPr>
          <w:rFonts w:ascii="Times New Roman" w:hAnsi="Times New Roman" w:cs="Times New Roman"/>
          <w:color w:val="222222"/>
          <w:sz w:val="24"/>
          <w:szCs w:val="24"/>
        </w:rPr>
        <w:tab/>
        <w:t xml:space="preserve">The negative effects of the policy that </w:t>
      </w:r>
      <w:r w:rsidR="0028740E" w:rsidRPr="009637D2">
        <w:rPr>
          <w:rFonts w:ascii="Times New Roman" w:hAnsi="Times New Roman" w:cs="Times New Roman"/>
          <w:noProof/>
          <w:color w:val="222222"/>
          <w:sz w:val="24"/>
          <w:szCs w:val="24"/>
        </w:rPr>
        <w:t xml:space="preserve">the </w:t>
      </w:r>
      <w:r w:rsidRPr="009637D2">
        <w:rPr>
          <w:rFonts w:ascii="Times New Roman" w:hAnsi="Times New Roman" w:cs="Times New Roman"/>
          <w:noProof/>
          <w:color w:val="222222"/>
          <w:sz w:val="24"/>
          <w:szCs w:val="24"/>
        </w:rPr>
        <w:t>dominant</w:t>
      </w:r>
      <w:r>
        <w:rPr>
          <w:rFonts w:ascii="Times New Roman" w:hAnsi="Times New Roman" w:cs="Times New Roman"/>
          <w:color w:val="222222"/>
          <w:sz w:val="24"/>
          <w:szCs w:val="24"/>
        </w:rPr>
        <w:t xml:space="preserve"> Germany imposed on the system were compounded by the divergent national monetary and fiscal policies of the peripheral countries and the nature of international spillovers fundamental to the system.</w:t>
      </w:r>
      <w:r w:rsidR="00EF70AD">
        <w:rPr>
          <w:rFonts w:ascii="Times New Roman" w:hAnsi="Times New Roman" w:cs="Times New Roman"/>
          <w:color w:val="222222"/>
          <w:sz w:val="24"/>
          <w:szCs w:val="24"/>
        </w:rPr>
        <w:t xml:space="preserve"> </w:t>
      </w:r>
      <w:r w:rsidR="00F11E35">
        <w:rPr>
          <w:rFonts w:ascii="Times New Roman" w:hAnsi="Times New Roman" w:cs="Times New Roman"/>
          <w:color w:val="222222"/>
          <w:sz w:val="24"/>
          <w:szCs w:val="24"/>
        </w:rPr>
        <w:t>No country’s unilateral monetary policy exist</w:t>
      </w:r>
      <w:r w:rsidR="00A24796">
        <w:rPr>
          <w:rFonts w:ascii="Times New Roman" w:hAnsi="Times New Roman" w:cs="Times New Roman"/>
          <w:color w:val="222222"/>
          <w:sz w:val="24"/>
          <w:szCs w:val="24"/>
        </w:rPr>
        <w:t>ed</w:t>
      </w:r>
      <w:r w:rsidR="00F11E35">
        <w:rPr>
          <w:rFonts w:ascii="Times New Roman" w:hAnsi="Times New Roman" w:cs="Times New Roman"/>
          <w:color w:val="222222"/>
          <w:sz w:val="24"/>
          <w:szCs w:val="24"/>
        </w:rPr>
        <w:t xml:space="preserve"> in a </w:t>
      </w:r>
      <w:r w:rsidR="00F11E35" w:rsidRPr="0028740E">
        <w:rPr>
          <w:rFonts w:ascii="Times New Roman" w:hAnsi="Times New Roman" w:cs="Times New Roman"/>
          <w:noProof/>
          <w:color w:val="222222"/>
          <w:sz w:val="24"/>
          <w:szCs w:val="24"/>
        </w:rPr>
        <w:t>vacuum,</w:t>
      </w:r>
      <w:r w:rsidR="00F11E35">
        <w:rPr>
          <w:rFonts w:ascii="Times New Roman" w:hAnsi="Times New Roman" w:cs="Times New Roman"/>
          <w:color w:val="222222"/>
          <w:sz w:val="24"/>
          <w:szCs w:val="24"/>
        </w:rPr>
        <w:t xml:space="preserve"> but </w:t>
      </w:r>
      <w:r w:rsidR="000A3201">
        <w:rPr>
          <w:rFonts w:ascii="Times New Roman" w:hAnsi="Times New Roman" w:cs="Times New Roman"/>
          <w:color w:val="222222"/>
          <w:sz w:val="24"/>
          <w:szCs w:val="24"/>
        </w:rPr>
        <w:t>they had</w:t>
      </w:r>
      <w:r w:rsidR="00F11E35">
        <w:rPr>
          <w:rFonts w:ascii="Times New Roman" w:hAnsi="Times New Roman" w:cs="Times New Roman"/>
          <w:color w:val="222222"/>
          <w:sz w:val="24"/>
          <w:szCs w:val="24"/>
        </w:rPr>
        <w:t xml:space="preserve"> relative appreciation/depreciation effects on the center co</w:t>
      </w:r>
      <w:r w:rsidR="000A3201">
        <w:rPr>
          <w:rFonts w:ascii="Times New Roman" w:hAnsi="Times New Roman" w:cs="Times New Roman"/>
          <w:color w:val="222222"/>
          <w:sz w:val="24"/>
          <w:szCs w:val="24"/>
        </w:rPr>
        <w:t>untry (Germany). The effect on the German Deutsche Mark</w:t>
      </w:r>
      <w:r w:rsidR="00A24796">
        <w:rPr>
          <w:rFonts w:ascii="Times New Roman" w:hAnsi="Times New Roman" w:cs="Times New Roman"/>
          <w:color w:val="222222"/>
          <w:sz w:val="24"/>
          <w:szCs w:val="24"/>
        </w:rPr>
        <w:t xml:space="preserve"> was </w:t>
      </w:r>
      <w:r w:rsidR="00A24796" w:rsidRPr="0028740E">
        <w:rPr>
          <w:rFonts w:ascii="Times New Roman" w:hAnsi="Times New Roman" w:cs="Times New Roman"/>
          <w:noProof/>
          <w:color w:val="222222"/>
          <w:sz w:val="24"/>
          <w:szCs w:val="24"/>
        </w:rPr>
        <w:t>th</w:t>
      </w:r>
      <w:r w:rsidR="0028740E">
        <w:rPr>
          <w:rFonts w:ascii="Times New Roman" w:hAnsi="Times New Roman" w:cs="Times New Roman"/>
          <w:noProof/>
          <w:color w:val="222222"/>
          <w:sz w:val="24"/>
          <w:szCs w:val="24"/>
        </w:rPr>
        <w:t>e</w:t>
      </w:r>
      <w:r w:rsidR="00A24796" w:rsidRPr="0028740E">
        <w:rPr>
          <w:rFonts w:ascii="Times New Roman" w:hAnsi="Times New Roman" w:cs="Times New Roman"/>
          <w:noProof/>
          <w:color w:val="222222"/>
          <w:sz w:val="24"/>
          <w:szCs w:val="24"/>
        </w:rPr>
        <w:t>n</w:t>
      </w:r>
      <w:r w:rsidR="00F11E35">
        <w:rPr>
          <w:rFonts w:ascii="Times New Roman" w:hAnsi="Times New Roman" w:cs="Times New Roman"/>
          <w:color w:val="222222"/>
          <w:sz w:val="24"/>
          <w:szCs w:val="24"/>
        </w:rPr>
        <w:t xml:space="preserve"> transmitted throughout the rest of the system, further requiring individual countries to pursue independent policy options in response (Buiter et al 1998). Considering each country had their own policy preferences reflecting independent preferences for underlying macroeconomic conditions, the ERM was under significant tension even before </w:t>
      </w:r>
      <w:r w:rsidR="00F11E35" w:rsidRPr="0028740E">
        <w:rPr>
          <w:rFonts w:ascii="Times New Roman" w:hAnsi="Times New Roman" w:cs="Times New Roman"/>
          <w:noProof/>
          <w:color w:val="222222"/>
          <w:sz w:val="24"/>
          <w:szCs w:val="24"/>
        </w:rPr>
        <w:t>a</w:t>
      </w:r>
      <w:r w:rsidR="0028740E">
        <w:rPr>
          <w:rFonts w:ascii="Times New Roman" w:hAnsi="Times New Roman" w:cs="Times New Roman"/>
          <w:noProof/>
          <w:color w:val="222222"/>
          <w:sz w:val="24"/>
          <w:szCs w:val="24"/>
        </w:rPr>
        <w:t>n</w:t>
      </w:r>
      <w:r w:rsidR="00F11E35" w:rsidRPr="0028740E">
        <w:rPr>
          <w:rFonts w:ascii="Times New Roman" w:hAnsi="Times New Roman" w:cs="Times New Roman"/>
          <w:noProof/>
          <w:color w:val="222222"/>
          <w:sz w:val="24"/>
          <w:szCs w:val="24"/>
        </w:rPr>
        <w:t xml:space="preserve"> asymmetric</w:t>
      </w:r>
      <w:r w:rsidR="00F11E35">
        <w:rPr>
          <w:rFonts w:ascii="Times New Roman" w:hAnsi="Times New Roman" w:cs="Times New Roman"/>
          <w:color w:val="222222"/>
          <w:sz w:val="24"/>
          <w:szCs w:val="24"/>
        </w:rPr>
        <w:t xml:space="preserve"> demand shock afflicted the central, dominant country in the system. </w:t>
      </w:r>
      <w:r w:rsidR="00F11E35">
        <w:rPr>
          <w:rFonts w:ascii="Times New Roman" w:hAnsi="Times New Roman" w:cs="Times New Roman"/>
          <w:sz w:val="24"/>
          <w:szCs w:val="24"/>
        </w:rPr>
        <w:t xml:space="preserve">Buiter, Corsetti, and Presenti (1998) contend that </w:t>
      </w:r>
      <w:r w:rsidR="00342737">
        <w:rPr>
          <w:rFonts w:ascii="Times New Roman" w:hAnsi="Times New Roman" w:cs="Times New Roman"/>
          <w:sz w:val="24"/>
          <w:szCs w:val="24"/>
        </w:rPr>
        <w:t>a key problem that led to compounded effects o</w:t>
      </w:r>
      <w:r w:rsidR="000A3201">
        <w:rPr>
          <w:rFonts w:ascii="Times New Roman" w:hAnsi="Times New Roman" w:cs="Times New Roman"/>
          <w:sz w:val="24"/>
          <w:szCs w:val="24"/>
        </w:rPr>
        <w:t>f the 1992 crisis was the</w:t>
      </w:r>
      <w:r w:rsidR="00342737">
        <w:rPr>
          <w:rFonts w:ascii="Times New Roman" w:hAnsi="Times New Roman" w:cs="Times New Roman"/>
          <w:sz w:val="24"/>
          <w:szCs w:val="24"/>
        </w:rPr>
        <w:t xml:space="preserve"> subsequent policy-coordination failure between Germany and the peripheral countries, as well as the peripheral countries amongst each other. This lack of policy coordination challenged the credibility of the system</w:t>
      </w:r>
      <w:r w:rsidR="00A60C1F">
        <w:rPr>
          <w:rFonts w:ascii="Times New Roman" w:hAnsi="Times New Roman" w:cs="Times New Roman"/>
          <w:sz w:val="24"/>
          <w:szCs w:val="24"/>
        </w:rPr>
        <w:t>, a feature</w:t>
      </w:r>
      <w:r w:rsidR="00342737">
        <w:rPr>
          <w:rFonts w:ascii="Times New Roman" w:hAnsi="Times New Roman" w:cs="Times New Roman"/>
          <w:sz w:val="24"/>
          <w:szCs w:val="24"/>
        </w:rPr>
        <w:t xml:space="preserve"> that</w:t>
      </w:r>
      <w:r w:rsidR="0028740E">
        <w:rPr>
          <w:rFonts w:ascii="Times New Roman" w:hAnsi="Times New Roman" w:cs="Times New Roman"/>
          <w:sz w:val="24"/>
          <w:szCs w:val="24"/>
        </w:rPr>
        <w:t xml:space="preserve"> was</w:t>
      </w:r>
      <w:r w:rsidR="00342737">
        <w:rPr>
          <w:rFonts w:ascii="Times New Roman" w:hAnsi="Times New Roman" w:cs="Times New Roman"/>
          <w:sz w:val="24"/>
          <w:szCs w:val="24"/>
        </w:rPr>
        <w:t xml:space="preserve"> assumed in the theoretical exchange rate behavior models of Krugman and Bertola and Caballero. </w:t>
      </w:r>
    </w:p>
    <w:p w14:paraId="016FF4B1" w14:textId="7CE08763" w:rsidR="00D1245E" w:rsidRDefault="00342737" w:rsidP="00342737">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 further explain the collapse of the system, one must consider e</w:t>
      </w:r>
      <w:r w:rsidR="000A3201">
        <w:rPr>
          <w:rFonts w:ascii="Times New Roman" w:hAnsi="Times New Roman" w:cs="Times New Roman"/>
          <w:sz w:val="24"/>
          <w:szCs w:val="24"/>
        </w:rPr>
        <w:t>xpectations of devaluations that remained stable prior to 1992</w:t>
      </w:r>
      <w:r>
        <w:rPr>
          <w:rFonts w:ascii="Times New Roman" w:hAnsi="Times New Roman" w:cs="Times New Roman"/>
          <w:sz w:val="24"/>
          <w:szCs w:val="24"/>
        </w:rPr>
        <w:t>, contributed to a credible</w:t>
      </w:r>
      <w:r w:rsidR="000A3201">
        <w:rPr>
          <w:rFonts w:ascii="Times New Roman" w:hAnsi="Times New Roman" w:cs="Times New Roman"/>
          <w:sz w:val="24"/>
          <w:szCs w:val="24"/>
        </w:rPr>
        <w:t xml:space="preserve"> exchange rate system,</w:t>
      </w:r>
      <w:r>
        <w:rPr>
          <w:rFonts w:ascii="Times New Roman" w:hAnsi="Times New Roman" w:cs="Times New Roman"/>
          <w:sz w:val="24"/>
          <w:szCs w:val="24"/>
        </w:rPr>
        <w:t xml:space="preserve"> and did not portend the collapse in 1992. Buiter, Corsetti, and Presenti (1998) argue that a</w:t>
      </w:r>
      <w:r w:rsidR="00C67D96">
        <w:rPr>
          <w:rFonts w:ascii="Times New Roman" w:hAnsi="Times New Roman" w:cs="Times New Roman"/>
          <w:sz w:val="24"/>
          <w:szCs w:val="24"/>
        </w:rPr>
        <w:t xml:space="preserve"> sudden</w:t>
      </w:r>
      <w:r>
        <w:rPr>
          <w:rFonts w:ascii="Times New Roman" w:hAnsi="Times New Roman" w:cs="Times New Roman"/>
          <w:sz w:val="24"/>
          <w:szCs w:val="24"/>
        </w:rPr>
        <w:t xml:space="preserve"> shock to expectations</w:t>
      </w:r>
      <w:r w:rsidR="00C67D96">
        <w:rPr>
          <w:rFonts w:ascii="Times New Roman" w:hAnsi="Times New Roman" w:cs="Times New Roman"/>
          <w:sz w:val="24"/>
          <w:szCs w:val="24"/>
        </w:rPr>
        <w:t xml:space="preserve"> was driven by the realignment of the Italian lira following a 7% de</w:t>
      </w:r>
      <w:r w:rsidR="000A3201">
        <w:rPr>
          <w:rFonts w:ascii="Times New Roman" w:hAnsi="Times New Roman" w:cs="Times New Roman"/>
          <w:sz w:val="24"/>
          <w:szCs w:val="24"/>
        </w:rPr>
        <w:t>valuation</w:t>
      </w:r>
      <w:r w:rsidR="00C67D96">
        <w:rPr>
          <w:rFonts w:ascii="Times New Roman" w:hAnsi="Times New Roman" w:cs="Times New Roman"/>
          <w:sz w:val="24"/>
          <w:szCs w:val="24"/>
        </w:rPr>
        <w:t>. However, this realignment was pursued unilaterall</w:t>
      </w:r>
      <w:r w:rsidR="000A3201">
        <w:rPr>
          <w:rFonts w:ascii="Times New Roman" w:hAnsi="Times New Roman" w:cs="Times New Roman"/>
          <w:sz w:val="24"/>
          <w:szCs w:val="24"/>
        </w:rPr>
        <w:t>y, which shifted expectations of</w:t>
      </w:r>
      <w:r w:rsidR="00C67D96">
        <w:rPr>
          <w:rFonts w:ascii="Times New Roman" w:hAnsi="Times New Roman" w:cs="Times New Roman"/>
          <w:sz w:val="24"/>
          <w:szCs w:val="24"/>
        </w:rPr>
        <w:t xml:space="preserve"> the remaining peripheral countries who no longer could rely on coordinated policy action throughout the system. This shock to expectations contributed to a series of speculative attacks on currencies</w:t>
      </w:r>
      <w:r w:rsidR="00DB7D1C">
        <w:rPr>
          <w:rFonts w:ascii="Times New Roman" w:hAnsi="Times New Roman" w:cs="Times New Roman"/>
          <w:sz w:val="24"/>
          <w:szCs w:val="24"/>
        </w:rPr>
        <w:t xml:space="preserve"> that led several to devalue </w:t>
      </w:r>
      <w:r w:rsidR="000A3201">
        <w:rPr>
          <w:rFonts w:ascii="Times New Roman" w:hAnsi="Times New Roman" w:cs="Times New Roman"/>
          <w:sz w:val="24"/>
          <w:szCs w:val="24"/>
        </w:rPr>
        <w:t xml:space="preserve">or abandon the peg </w:t>
      </w:r>
      <w:r w:rsidR="00DB7D1C">
        <w:rPr>
          <w:rFonts w:ascii="Times New Roman" w:hAnsi="Times New Roman" w:cs="Times New Roman"/>
          <w:sz w:val="24"/>
          <w:szCs w:val="24"/>
        </w:rPr>
        <w:t xml:space="preserve">as countries independently sought cost-minimizing policy consistent with their domestic economic conditions. By the time of the widespread collapse of the ERM, </w:t>
      </w:r>
      <w:r w:rsidR="0028740E">
        <w:rPr>
          <w:rFonts w:ascii="Times New Roman" w:hAnsi="Times New Roman" w:cs="Times New Roman"/>
          <w:sz w:val="24"/>
          <w:szCs w:val="24"/>
        </w:rPr>
        <w:t xml:space="preserve">the </w:t>
      </w:r>
      <w:r w:rsidR="00DB7D1C" w:rsidRPr="0028740E">
        <w:rPr>
          <w:rFonts w:ascii="Times New Roman" w:hAnsi="Times New Roman" w:cs="Times New Roman"/>
          <w:noProof/>
          <w:sz w:val="24"/>
          <w:szCs w:val="24"/>
        </w:rPr>
        <w:t>credibility</w:t>
      </w:r>
      <w:r w:rsidR="00DB7D1C">
        <w:rPr>
          <w:rFonts w:ascii="Times New Roman" w:hAnsi="Times New Roman" w:cs="Times New Roman"/>
          <w:sz w:val="24"/>
          <w:szCs w:val="24"/>
        </w:rPr>
        <w:t xml:space="preserve"> </w:t>
      </w:r>
      <w:r w:rsidR="00B92C9F">
        <w:rPr>
          <w:rFonts w:ascii="Times New Roman" w:hAnsi="Times New Roman" w:cs="Times New Roman"/>
          <w:sz w:val="24"/>
          <w:szCs w:val="24"/>
        </w:rPr>
        <w:t>of</w:t>
      </w:r>
      <w:r w:rsidR="00DB7D1C">
        <w:rPr>
          <w:rFonts w:ascii="Times New Roman" w:hAnsi="Times New Roman" w:cs="Times New Roman"/>
          <w:sz w:val="24"/>
          <w:szCs w:val="24"/>
        </w:rPr>
        <w:t xml:space="preserve"> the system had been lost.</w:t>
      </w:r>
    </w:p>
    <w:p w14:paraId="2071CA19" w14:textId="144A7D18" w:rsidR="00C468A4" w:rsidRDefault="00DB7D1C" w:rsidP="00C468A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637D2">
        <w:rPr>
          <w:rFonts w:ascii="Times New Roman" w:hAnsi="Times New Roman" w:cs="Times New Roman"/>
          <w:sz w:val="24"/>
          <w:szCs w:val="24"/>
        </w:rPr>
        <w:t xml:space="preserve">reasons for the </w:t>
      </w:r>
      <w:r w:rsidR="00C96676">
        <w:rPr>
          <w:rFonts w:ascii="Times New Roman" w:hAnsi="Times New Roman" w:cs="Times New Roman"/>
          <w:sz w:val="24"/>
          <w:szCs w:val="24"/>
        </w:rPr>
        <w:t xml:space="preserve">dramatic </w:t>
      </w:r>
      <w:r w:rsidR="009637D2">
        <w:rPr>
          <w:rFonts w:ascii="Times New Roman" w:hAnsi="Times New Roman" w:cs="Times New Roman"/>
          <w:sz w:val="24"/>
          <w:szCs w:val="24"/>
        </w:rPr>
        <w:t>devaluations or depreciation and</w:t>
      </w:r>
      <w:r w:rsidR="00286729">
        <w:rPr>
          <w:rFonts w:ascii="Times New Roman" w:hAnsi="Times New Roman" w:cs="Times New Roman"/>
          <w:sz w:val="24"/>
          <w:szCs w:val="24"/>
        </w:rPr>
        <w:t xml:space="preserve"> abandonment of the peg </w:t>
      </w:r>
      <w:r>
        <w:rPr>
          <w:rFonts w:ascii="Times New Roman" w:hAnsi="Times New Roman" w:cs="Times New Roman"/>
          <w:sz w:val="24"/>
          <w:szCs w:val="24"/>
        </w:rPr>
        <w:t>vary by country, but they often reflected the macroeconomic conditions of</w:t>
      </w:r>
      <w:r w:rsidR="009637D2">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9637D2">
        <w:rPr>
          <w:rFonts w:ascii="Times New Roman" w:hAnsi="Times New Roman" w:cs="Times New Roman"/>
          <w:sz w:val="24"/>
          <w:szCs w:val="24"/>
        </w:rPr>
        <w:t xml:space="preserve">country’s </w:t>
      </w:r>
      <w:r>
        <w:rPr>
          <w:rFonts w:ascii="Times New Roman" w:hAnsi="Times New Roman" w:cs="Times New Roman"/>
          <w:sz w:val="24"/>
          <w:szCs w:val="24"/>
        </w:rPr>
        <w:t>domestic economy.</w:t>
      </w:r>
      <w:r w:rsidR="00227AEC">
        <w:rPr>
          <w:rFonts w:ascii="Times New Roman" w:hAnsi="Times New Roman" w:cs="Times New Roman"/>
          <w:sz w:val="24"/>
          <w:szCs w:val="24"/>
        </w:rPr>
        <w:t xml:space="preserve"> For example, the </w:t>
      </w:r>
      <w:r w:rsidR="000A3201">
        <w:rPr>
          <w:rFonts w:ascii="Times New Roman" w:hAnsi="Times New Roman" w:cs="Times New Roman"/>
          <w:sz w:val="24"/>
          <w:szCs w:val="24"/>
        </w:rPr>
        <w:t>UK</w:t>
      </w:r>
      <w:r w:rsidR="00227AEC">
        <w:rPr>
          <w:rFonts w:ascii="Times New Roman" w:hAnsi="Times New Roman" w:cs="Times New Roman"/>
          <w:sz w:val="24"/>
          <w:szCs w:val="24"/>
        </w:rPr>
        <w:t xml:space="preserve">, burdened by high unemployment, </w:t>
      </w:r>
      <w:r w:rsidR="000A3201">
        <w:rPr>
          <w:rFonts w:ascii="Times New Roman" w:hAnsi="Times New Roman" w:cs="Times New Roman"/>
          <w:sz w:val="24"/>
          <w:szCs w:val="24"/>
        </w:rPr>
        <w:t>chose to abandon</w:t>
      </w:r>
      <w:r w:rsidR="00227AEC">
        <w:rPr>
          <w:rFonts w:ascii="Times New Roman" w:hAnsi="Times New Roman" w:cs="Times New Roman"/>
          <w:sz w:val="24"/>
          <w:szCs w:val="24"/>
        </w:rPr>
        <w:t xml:space="preserve"> the peg</w:t>
      </w:r>
      <w:r w:rsidR="000A3201">
        <w:rPr>
          <w:rFonts w:ascii="Times New Roman" w:hAnsi="Times New Roman" w:cs="Times New Roman"/>
          <w:sz w:val="24"/>
          <w:szCs w:val="24"/>
        </w:rPr>
        <w:t xml:space="preserve"> a</w:t>
      </w:r>
      <w:r w:rsidR="00227AEC">
        <w:rPr>
          <w:rFonts w:ascii="Times New Roman" w:hAnsi="Times New Roman" w:cs="Times New Roman"/>
          <w:sz w:val="24"/>
          <w:szCs w:val="24"/>
        </w:rPr>
        <w:t>midst the collapse of the ERM</w:t>
      </w:r>
      <w:r w:rsidR="000A3201">
        <w:rPr>
          <w:rFonts w:ascii="Times New Roman" w:hAnsi="Times New Roman" w:cs="Times New Roman"/>
          <w:sz w:val="24"/>
          <w:szCs w:val="24"/>
        </w:rPr>
        <w:t xml:space="preserve"> following speculative attacks that </w:t>
      </w:r>
      <w:r w:rsidR="009F2096">
        <w:rPr>
          <w:rFonts w:ascii="Times New Roman" w:hAnsi="Times New Roman" w:cs="Times New Roman"/>
          <w:sz w:val="24"/>
          <w:szCs w:val="24"/>
        </w:rPr>
        <w:t>depreciated its currency</w:t>
      </w:r>
      <w:r w:rsidR="00227AEC">
        <w:rPr>
          <w:rFonts w:ascii="Times New Roman" w:hAnsi="Times New Roman" w:cs="Times New Roman"/>
          <w:sz w:val="24"/>
          <w:szCs w:val="24"/>
        </w:rPr>
        <w:t>.</w:t>
      </w:r>
      <w:r w:rsidR="00286729">
        <w:rPr>
          <w:rFonts w:ascii="Times New Roman" w:hAnsi="Times New Roman" w:cs="Times New Roman"/>
          <w:sz w:val="24"/>
          <w:szCs w:val="24"/>
        </w:rPr>
        <w:t xml:space="preserve"> A general revaluation of the German currency</w:t>
      </w:r>
      <w:r w:rsidR="009F2096">
        <w:rPr>
          <w:rFonts w:ascii="Times New Roman" w:hAnsi="Times New Roman" w:cs="Times New Roman"/>
          <w:sz w:val="24"/>
          <w:szCs w:val="24"/>
        </w:rPr>
        <w:t xml:space="preserve"> in the ERM</w:t>
      </w:r>
      <w:r w:rsidR="00286729">
        <w:rPr>
          <w:rFonts w:ascii="Times New Roman" w:hAnsi="Times New Roman" w:cs="Times New Roman"/>
          <w:sz w:val="24"/>
          <w:szCs w:val="24"/>
        </w:rPr>
        <w:t xml:space="preserve"> restrict</w:t>
      </w:r>
      <w:r w:rsidR="009F2096">
        <w:rPr>
          <w:rFonts w:ascii="Times New Roman" w:hAnsi="Times New Roman" w:cs="Times New Roman"/>
          <w:sz w:val="24"/>
          <w:szCs w:val="24"/>
        </w:rPr>
        <w:t>ed the</w:t>
      </w:r>
      <w:r w:rsidR="00A60C1F">
        <w:rPr>
          <w:rFonts w:ascii="Times New Roman" w:hAnsi="Times New Roman" w:cs="Times New Roman"/>
          <w:sz w:val="24"/>
          <w:szCs w:val="24"/>
        </w:rPr>
        <w:t xml:space="preserve"> UK’s</w:t>
      </w:r>
      <w:r w:rsidR="00286729">
        <w:rPr>
          <w:rFonts w:ascii="Times New Roman" w:hAnsi="Times New Roman" w:cs="Times New Roman"/>
          <w:sz w:val="24"/>
          <w:szCs w:val="24"/>
        </w:rPr>
        <w:t xml:space="preserve"> policy options and would lead to recession and higher unemployment until prices adjusted.</w:t>
      </w:r>
      <w:r w:rsidR="00C96676">
        <w:rPr>
          <w:rFonts w:ascii="Times New Roman" w:hAnsi="Times New Roman" w:cs="Times New Roman"/>
          <w:sz w:val="24"/>
          <w:szCs w:val="24"/>
        </w:rPr>
        <w:t xml:space="preserve"> High unemployment suggests that a government might abandon the peg</w:t>
      </w:r>
      <w:r w:rsidR="00286729">
        <w:rPr>
          <w:rFonts w:ascii="Times New Roman" w:hAnsi="Times New Roman" w:cs="Times New Roman"/>
          <w:sz w:val="24"/>
          <w:szCs w:val="24"/>
        </w:rPr>
        <w:t xml:space="preserve"> and switch to a floating exchange rate</w:t>
      </w:r>
      <w:r w:rsidR="00C96676">
        <w:rPr>
          <w:rFonts w:ascii="Times New Roman" w:hAnsi="Times New Roman" w:cs="Times New Roman"/>
          <w:sz w:val="24"/>
          <w:szCs w:val="24"/>
        </w:rPr>
        <w:t>,</w:t>
      </w:r>
      <w:r w:rsidR="00286729">
        <w:rPr>
          <w:rFonts w:ascii="Times New Roman" w:hAnsi="Times New Roman" w:cs="Times New Roman"/>
          <w:sz w:val="24"/>
          <w:szCs w:val="24"/>
        </w:rPr>
        <w:t xml:space="preserve"> and the market anticipation of this phenomenon would lead to an immediate speculative attack, which is what was </w:t>
      </w:r>
      <w:r w:rsidR="009F2096">
        <w:rPr>
          <w:rFonts w:ascii="Times New Roman" w:hAnsi="Times New Roman" w:cs="Times New Roman"/>
          <w:sz w:val="24"/>
          <w:szCs w:val="24"/>
        </w:rPr>
        <w:t>experienced by the UK in 1992</w:t>
      </w:r>
      <w:r w:rsidR="00286729">
        <w:rPr>
          <w:rFonts w:ascii="Times New Roman" w:hAnsi="Times New Roman" w:cs="Times New Roman"/>
          <w:sz w:val="24"/>
          <w:szCs w:val="24"/>
        </w:rPr>
        <w:t>.</w:t>
      </w:r>
      <w:r w:rsidR="00227AEC">
        <w:rPr>
          <w:rFonts w:ascii="Times New Roman" w:hAnsi="Times New Roman" w:cs="Times New Roman"/>
          <w:sz w:val="24"/>
          <w:szCs w:val="24"/>
        </w:rPr>
        <w:t xml:space="preserve"> Knot, Sturm, and de Haan suggest that these divergent unemployment rates as well as</w:t>
      </w:r>
      <w:r w:rsidR="00A60C1F">
        <w:rPr>
          <w:rFonts w:ascii="Times New Roman" w:hAnsi="Times New Roman" w:cs="Times New Roman"/>
          <w:sz w:val="24"/>
          <w:szCs w:val="24"/>
        </w:rPr>
        <w:t xml:space="preserve"> </w:t>
      </w:r>
      <w:r w:rsidR="009F2096">
        <w:rPr>
          <w:rFonts w:ascii="Times New Roman" w:hAnsi="Times New Roman" w:cs="Times New Roman"/>
          <w:sz w:val="24"/>
          <w:szCs w:val="24"/>
        </w:rPr>
        <w:t>account balances, inflation, and</w:t>
      </w:r>
      <w:r w:rsidR="00B92C9F">
        <w:rPr>
          <w:rFonts w:ascii="Times New Roman" w:hAnsi="Times New Roman" w:cs="Times New Roman"/>
          <w:sz w:val="24"/>
          <w:szCs w:val="24"/>
        </w:rPr>
        <w:t xml:space="preserve"> fiscal policies – which result</w:t>
      </w:r>
      <w:r w:rsidR="008636B6">
        <w:rPr>
          <w:rFonts w:ascii="Times New Roman" w:hAnsi="Times New Roman" w:cs="Times New Roman"/>
          <w:sz w:val="24"/>
          <w:szCs w:val="24"/>
        </w:rPr>
        <w:t>ed</w:t>
      </w:r>
      <w:r w:rsidR="00B92C9F">
        <w:rPr>
          <w:rFonts w:ascii="Times New Roman" w:hAnsi="Times New Roman" w:cs="Times New Roman"/>
          <w:sz w:val="24"/>
          <w:szCs w:val="24"/>
        </w:rPr>
        <w:t xml:space="preserve"> in</w:t>
      </w:r>
      <w:r w:rsidR="00227AEC">
        <w:rPr>
          <w:rFonts w:ascii="Times New Roman" w:hAnsi="Times New Roman" w:cs="Times New Roman"/>
          <w:sz w:val="24"/>
          <w:szCs w:val="24"/>
        </w:rPr>
        <w:t xml:space="preserve"> budget deficits </w:t>
      </w:r>
      <w:r w:rsidR="00B92C9F">
        <w:rPr>
          <w:rFonts w:ascii="Times New Roman" w:hAnsi="Times New Roman" w:cs="Times New Roman"/>
          <w:sz w:val="24"/>
          <w:szCs w:val="24"/>
        </w:rPr>
        <w:t xml:space="preserve">in some countries – </w:t>
      </w:r>
      <w:r w:rsidR="00227AEC">
        <w:rPr>
          <w:rFonts w:ascii="Times New Roman" w:hAnsi="Times New Roman" w:cs="Times New Roman"/>
          <w:sz w:val="24"/>
          <w:szCs w:val="24"/>
        </w:rPr>
        <w:t>threatened the credibility of the ERM system</w:t>
      </w:r>
      <w:r w:rsidR="00A60C1F">
        <w:rPr>
          <w:rFonts w:ascii="Times New Roman" w:hAnsi="Times New Roman" w:cs="Times New Roman"/>
          <w:sz w:val="24"/>
          <w:szCs w:val="24"/>
        </w:rPr>
        <w:t xml:space="preserve"> on a broader scale</w:t>
      </w:r>
      <w:r w:rsidR="00B92C9F">
        <w:rPr>
          <w:rFonts w:ascii="Times New Roman" w:hAnsi="Times New Roman" w:cs="Times New Roman"/>
          <w:sz w:val="24"/>
          <w:szCs w:val="24"/>
        </w:rPr>
        <w:t>.</w:t>
      </w:r>
      <w:r w:rsidR="00337F99">
        <w:rPr>
          <w:rFonts w:ascii="Times New Roman" w:hAnsi="Times New Roman" w:cs="Times New Roman"/>
          <w:sz w:val="24"/>
          <w:szCs w:val="24"/>
        </w:rPr>
        <w:t xml:space="preserve"> After empirically testing panel data for six ERM </w:t>
      </w:r>
      <w:r w:rsidR="00337F99" w:rsidRPr="0028740E">
        <w:rPr>
          <w:rFonts w:ascii="Times New Roman" w:hAnsi="Times New Roman" w:cs="Times New Roman"/>
          <w:noProof/>
          <w:sz w:val="24"/>
          <w:szCs w:val="24"/>
        </w:rPr>
        <w:t>currencies</w:t>
      </w:r>
      <w:r w:rsidR="008636B6">
        <w:rPr>
          <w:rFonts w:ascii="Times New Roman" w:hAnsi="Times New Roman" w:cs="Times New Roman"/>
          <w:noProof/>
          <w:sz w:val="24"/>
          <w:szCs w:val="24"/>
        </w:rPr>
        <w:t>, they concluded a statistically significant relationship between these underlying macroeconomic fundamentals and the speculative attacks on currencies during the 1992 crisis. Another variable that they determined was relevant in explaining the credibility of the system was the stock of foreign reserves. C</w:t>
      </w:r>
      <w:r w:rsidR="00286729">
        <w:rPr>
          <w:rFonts w:ascii="Times New Roman" w:hAnsi="Times New Roman" w:cs="Times New Roman"/>
          <w:noProof/>
          <w:sz w:val="24"/>
          <w:szCs w:val="24"/>
        </w:rPr>
        <w:t>entral bank</w:t>
      </w:r>
      <w:r w:rsidR="008636B6">
        <w:rPr>
          <w:rFonts w:ascii="Times New Roman" w:hAnsi="Times New Roman" w:cs="Times New Roman"/>
          <w:noProof/>
          <w:sz w:val="24"/>
          <w:szCs w:val="24"/>
        </w:rPr>
        <w:t>s with higher quantities of foreign reserves were capable of credibly committing to defending the peg</w:t>
      </w:r>
      <w:r w:rsidR="008636B6">
        <w:rPr>
          <w:rFonts w:ascii="Times New Roman" w:hAnsi="Times New Roman" w:cs="Times New Roman"/>
          <w:sz w:val="24"/>
          <w:szCs w:val="24"/>
        </w:rPr>
        <w:t>. The differences in these macroeconomic conditions and the diverging policy preferences for each country only served to intensify the collapse of the ERM in 1992.</w:t>
      </w:r>
    </w:p>
    <w:p w14:paraId="6F428EAD" w14:textId="09261E95" w:rsidR="00C468A4" w:rsidRDefault="008F63BA" w:rsidP="00C468A4">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effects of the collapse were dramatic across the continent. Multiple currencies </w:t>
      </w:r>
      <w:r w:rsidR="00A60C1F">
        <w:rPr>
          <w:rFonts w:ascii="Times New Roman" w:hAnsi="Times New Roman" w:cs="Times New Roman"/>
          <w:sz w:val="24"/>
          <w:szCs w:val="24"/>
        </w:rPr>
        <w:t>exceeded the limits of their pegs on a number of occasions,</w:t>
      </w:r>
      <w:r>
        <w:rPr>
          <w:rFonts w:ascii="Times New Roman" w:hAnsi="Times New Roman" w:cs="Times New Roman"/>
          <w:sz w:val="24"/>
          <w:szCs w:val="24"/>
        </w:rPr>
        <w:t xml:space="preserve"> forcing countries to either devalue or abandon the peg. On September 8 the Finnish markka was forced to flo</w:t>
      </w:r>
      <w:r w:rsidR="00AD27FD">
        <w:rPr>
          <w:rFonts w:ascii="Times New Roman" w:hAnsi="Times New Roman" w:cs="Times New Roman"/>
          <w:sz w:val="24"/>
          <w:szCs w:val="24"/>
        </w:rPr>
        <w:t xml:space="preserve">at. The Italian lira – </w:t>
      </w:r>
      <w:r>
        <w:rPr>
          <w:rFonts w:ascii="Times New Roman" w:hAnsi="Times New Roman" w:cs="Times New Roman"/>
          <w:sz w:val="24"/>
          <w:szCs w:val="24"/>
        </w:rPr>
        <w:t>although the net 7% devaluation against Germany was negotiat</w:t>
      </w:r>
      <w:r w:rsidR="00AD27FD">
        <w:rPr>
          <w:rFonts w:ascii="Times New Roman" w:hAnsi="Times New Roman" w:cs="Times New Roman"/>
          <w:sz w:val="24"/>
          <w:szCs w:val="24"/>
        </w:rPr>
        <w:t>ed that same day – wa</w:t>
      </w:r>
      <w:r>
        <w:rPr>
          <w:rFonts w:ascii="Times New Roman" w:hAnsi="Times New Roman" w:cs="Times New Roman"/>
          <w:sz w:val="24"/>
          <w:szCs w:val="24"/>
        </w:rPr>
        <w:t xml:space="preserve">s eventually also forced to abandon the peg after again reaching its </w:t>
      </w:r>
      <w:r w:rsidR="00AD27FD">
        <w:rPr>
          <w:rFonts w:ascii="Times New Roman" w:hAnsi="Times New Roman" w:cs="Times New Roman"/>
          <w:sz w:val="24"/>
          <w:szCs w:val="24"/>
        </w:rPr>
        <w:t xml:space="preserve">exchange rate </w:t>
      </w:r>
      <w:bookmarkStart w:id="0" w:name="_GoBack"/>
      <w:bookmarkEnd w:id="0"/>
      <w:r w:rsidR="00B3374A">
        <w:rPr>
          <w:rFonts w:ascii="Times New Roman" w:hAnsi="Times New Roman" w:cs="Times New Roman"/>
          <w:sz w:val="24"/>
          <w:szCs w:val="24"/>
        </w:rPr>
        <w:t xml:space="preserve">limit </w:t>
      </w:r>
      <w:r w:rsidR="005F53A2">
        <w:rPr>
          <w:rFonts w:ascii="Times New Roman" w:hAnsi="Times New Roman" w:cs="Times New Roman"/>
          <w:sz w:val="24"/>
          <w:szCs w:val="24"/>
        </w:rPr>
        <w:t>on September 16 (Svensson 1994). As discussed earlier, the United Kingdom was under severe pressure from their unemployment</w:t>
      </w:r>
      <w:r w:rsidR="00B3374A">
        <w:rPr>
          <w:rFonts w:ascii="Times New Roman" w:hAnsi="Times New Roman" w:cs="Times New Roman"/>
          <w:sz w:val="24"/>
          <w:szCs w:val="24"/>
        </w:rPr>
        <w:t xml:space="preserve"> level</w:t>
      </w:r>
      <w:r w:rsidR="005F53A2">
        <w:rPr>
          <w:rFonts w:ascii="Times New Roman" w:hAnsi="Times New Roman" w:cs="Times New Roman"/>
          <w:sz w:val="24"/>
          <w:szCs w:val="24"/>
        </w:rPr>
        <w:t>, and the British pound was forced to float on September 16, only after the Bank of England depleted approximately half its stock of foreign reserves valued at 15 billion dollars</w:t>
      </w:r>
      <w:r w:rsidR="00B3374A">
        <w:rPr>
          <w:rFonts w:ascii="Times New Roman" w:hAnsi="Times New Roman" w:cs="Times New Roman"/>
          <w:sz w:val="24"/>
          <w:szCs w:val="24"/>
        </w:rPr>
        <w:t xml:space="preserve"> (Buiter et al 1998)</w:t>
      </w:r>
      <w:r w:rsidR="005F53A2">
        <w:rPr>
          <w:rFonts w:ascii="Times New Roman" w:hAnsi="Times New Roman" w:cs="Times New Roman"/>
          <w:sz w:val="24"/>
          <w:szCs w:val="24"/>
        </w:rPr>
        <w:t xml:space="preserve">. In Spain, a devaluation of 5% was initially pursued. Some countries like Sweden and Ireland did </w:t>
      </w:r>
      <w:r w:rsidR="00B3374A">
        <w:rPr>
          <w:rFonts w:ascii="Times New Roman" w:hAnsi="Times New Roman" w:cs="Times New Roman"/>
          <w:sz w:val="24"/>
          <w:szCs w:val="24"/>
        </w:rPr>
        <w:t xml:space="preserve">initially </w:t>
      </w:r>
      <w:r w:rsidR="005F53A2">
        <w:rPr>
          <w:rFonts w:ascii="Times New Roman" w:hAnsi="Times New Roman" w:cs="Times New Roman"/>
          <w:sz w:val="24"/>
          <w:szCs w:val="24"/>
        </w:rPr>
        <w:t>commit to maintaining their exchange rates, but this policy decision came at the price of raising the overnight marginal lending rate to 500% in Sweden, and 300% in Ireland. Still</w:t>
      </w:r>
      <w:r w:rsidR="00B3374A">
        <w:rPr>
          <w:rFonts w:ascii="Times New Roman" w:hAnsi="Times New Roman" w:cs="Times New Roman"/>
          <w:sz w:val="24"/>
          <w:szCs w:val="24"/>
        </w:rPr>
        <w:t>,</w:t>
      </w:r>
      <w:r w:rsidR="005F53A2">
        <w:rPr>
          <w:rFonts w:ascii="Times New Roman" w:hAnsi="Times New Roman" w:cs="Times New Roman"/>
          <w:sz w:val="24"/>
          <w:szCs w:val="24"/>
        </w:rPr>
        <w:t xml:space="preserve"> this did not secure the Swedish krona from a second speculative attack in November forcing it to float after the Riksbank lost 25 billion dollars in foreign reserves. </w:t>
      </w:r>
      <w:r w:rsidR="0074375E">
        <w:rPr>
          <w:rFonts w:ascii="Times New Roman" w:hAnsi="Times New Roman" w:cs="Times New Roman"/>
          <w:sz w:val="24"/>
          <w:szCs w:val="24"/>
        </w:rPr>
        <w:t xml:space="preserve">The Irish punt eventually suffered a similar fate. </w:t>
      </w:r>
      <w:r w:rsidR="005F53A2">
        <w:rPr>
          <w:rFonts w:ascii="Times New Roman" w:hAnsi="Times New Roman" w:cs="Times New Roman"/>
          <w:sz w:val="24"/>
          <w:szCs w:val="24"/>
        </w:rPr>
        <w:t>The Spanish peseta was initially devalued 6%</w:t>
      </w:r>
      <w:r w:rsidR="006B0D45">
        <w:rPr>
          <w:rFonts w:ascii="Times New Roman" w:hAnsi="Times New Roman" w:cs="Times New Roman"/>
          <w:sz w:val="24"/>
          <w:szCs w:val="24"/>
        </w:rPr>
        <w:t xml:space="preserve">, </w:t>
      </w:r>
      <w:r w:rsidR="00B3374A">
        <w:rPr>
          <w:rFonts w:ascii="Times New Roman" w:hAnsi="Times New Roman" w:cs="Times New Roman"/>
          <w:sz w:val="24"/>
          <w:szCs w:val="24"/>
        </w:rPr>
        <w:t>followed by a second devaluation</w:t>
      </w:r>
      <w:r w:rsidR="006B0D45">
        <w:rPr>
          <w:rFonts w:ascii="Times New Roman" w:hAnsi="Times New Roman" w:cs="Times New Roman"/>
          <w:sz w:val="24"/>
          <w:szCs w:val="24"/>
        </w:rPr>
        <w:t xml:space="preserve"> in </w:t>
      </w:r>
      <w:r w:rsidR="00B3374A">
        <w:rPr>
          <w:rFonts w:ascii="Times New Roman" w:hAnsi="Times New Roman" w:cs="Times New Roman"/>
          <w:sz w:val="24"/>
          <w:szCs w:val="24"/>
        </w:rPr>
        <w:t>1993 of an additional</w:t>
      </w:r>
      <w:r w:rsidR="006B0D45">
        <w:rPr>
          <w:rFonts w:ascii="Times New Roman" w:hAnsi="Times New Roman" w:cs="Times New Roman"/>
          <w:sz w:val="24"/>
          <w:szCs w:val="24"/>
        </w:rPr>
        <w:t xml:space="preserve"> 8%. The Portuguese </w:t>
      </w:r>
      <w:r w:rsidR="00B3374A">
        <w:rPr>
          <w:rFonts w:ascii="Times New Roman" w:hAnsi="Times New Roman" w:cs="Times New Roman"/>
          <w:sz w:val="24"/>
          <w:szCs w:val="24"/>
        </w:rPr>
        <w:t xml:space="preserve">escudo </w:t>
      </w:r>
      <w:r w:rsidR="006B0D45">
        <w:rPr>
          <w:rFonts w:ascii="Times New Roman" w:hAnsi="Times New Roman" w:cs="Times New Roman"/>
          <w:sz w:val="24"/>
          <w:szCs w:val="24"/>
        </w:rPr>
        <w:t>w</w:t>
      </w:r>
      <w:r w:rsidR="00140861">
        <w:rPr>
          <w:rFonts w:ascii="Times New Roman" w:hAnsi="Times New Roman" w:cs="Times New Roman"/>
          <w:sz w:val="24"/>
          <w:szCs w:val="24"/>
        </w:rPr>
        <w:t xml:space="preserve">as also initially </w:t>
      </w:r>
      <w:r w:rsidR="006B0D45">
        <w:rPr>
          <w:rFonts w:ascii="Times New Roman" w:hAnsi="Times New Roman" w:cs="Times New Roman"/>
          <w:sz w:val="24"/>
          <w:szCs w:val="24"/>
        </w:rPr>
        <w:t>devalued at 6% followed by a 6.5% devaluation in 1993 as speculative attacks resumed. By the conclusion of the crisis, eleven countries’ currencies had been attacked, and all were floated or devalued except the Belgian franc, the French franc, and the Danish krone</w:t>
      </w:r>
      <w:r w:rsidR="00B3374A">
        <w:rPr>
          <w:rFonts w:ascii="Times New Roman" w:hAnsi="Times New Roman" w:cs="Times New Roman"/>
          <w:sz w:val="24"/>
          <w:szCs w:val="24"/>
        </w:rPr>
        <w:t xml:space="preserve"> (Svensson 1994)</w:t>
      </w:r>
      <w:r w:rsidR="006B0D45">
        <w:rPr>
          <w:rFonts w:ascii="Times New Roman" w:hAnsi="Times New Roman" w:cs="Times New Roman"/>
          <w:sz w:val="24"/>
          <w:szCs w:val="24"/>
        </w:rPr>
        <w:t>.</w:t>
      </w:r>
      <w:r w:rsidR="00B3374A">
        <w:rPr>
          <w:rFonts w:ascii="Times New Roman" w:hAnsi="Times New Roman" w:cs="Times New Roman"/>
          <w:sz w:val="24"/>
          <w:szCs w:val="24"/>
        </w:rPr>
        <w:t xml:space="preserve"> The underlying macroeconomic fundamentals and diverging national policy preferences predicted the path pursued by each country, and the cascading nature of the crisis lends evidence to the international spillovers described by Buiter, Corsetti, and Pesenti (1998). </w:t>
      </w:r>
    </w:p>
    <w:p w14:paraId="1F313ED2" w14:textId="334E55CD" w:rsidR="0028740E" w:rsidRPr="001873EA" w:rsidRDefault="006B0D45" w:rsidP="0028740E">
      <w:pPr>
        <w:spacing w:line="36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The key to understanding the exchange rate crises of 1992-1993 is </w:t>
      </w:r>
      <w:r w:rsidR="00140861">
        <w:rPr>
          <w:rFonts w:ascii="Times New Roman" w:hAnsi="Times New Roman" w:cs="Times New Roman"/>
          <w:sz w:val="24"/>
          <w:szCs w:val="24"/>
        </w:rPr>
        <w:t xml:space="preserve">the </w:t>
      </w:r>
      <w:r>
        <w:rPr>
          <w:rFonts w:ascii="Times New Roman" w:hAnsi="Times New Roman" w:cs="Times New Roman"/>
          <w:sz w:val="24"/>
          <w:szCs w:val="24"/>
        </w:rPr>
        <w:t>lack of credibility in the</w:t>
      </w:r>
      <w:r w:rsidR="00140861">
        <w:rPr>
          <w:rFonts w:ascii="Times New Roman" w:hAnsi="Times New Roman" w:cs="Times New Roman"/>
          <w:sz w:val="24"/>
          <w:szCs w:val="24"/>
        </w:rPr>
        <w:t xml:space="preserve"> ERM</w:t>
      </w:r>
      <w:r>
        <w:rPr>
          <w:rFonts w:ascii="Times New Roman" w:hAnsi="Times New Roman" w:cs="Times New Roman"/>
          <w:sz w:val="24"/>
          <w:szCs w:val="24"/>
        </w:rPr>
        <w:t xml:space="preserve"> system </w:t>
      </w:r>
      <w:r w:rsidR="00140861">
        <w:rPr>
          <w:rFonts w:ascii="Times New Roman" w:hAnsi="Times New Roman" w:cs="Times New Roman"/>
          <w:sz w:val="24"/>
          <w:szCs w:val="24"/>
        </w:rPr>
        <w:t>that was sustained through the diverging macroeconomic fundamentals and national policy preferences.</w:t>
      </w:r>
      <w:r w:rsidR="0074375E">
        <w:rPr>
          <w:rFonts w:ascii="Times New Roman" w:hAnsi="Times New Roman" w:cs="Times New Roman"/>
          <w:sz w:val="24"/>
          <w:szCs w:val="24"/>
        </w:rPr>
        <w:t xml:space="preserve"> The ideal model of exchange rate behavior within target zones proposed by Krugman assumed credible commitments to defending the exchange rate. With the contribution of the policy option of realignment proposed by Bertol</w:t>
      </w:r>
      <w:r w:rsidR="00CE2091">
        <w:rPr>
          <w:rFonts w:ascii="Times New Roman" w:hAnsi="Times New Roman" w:cs="Times New Roman"/>
          <w:sz w:val="24"/>
          <w:szCs w:val="24"/>
        </w:rPr>
        <w:t>a</w:t>
      </w:r>
      <w:r w:rsidR="0074375E">
        <w:rPr>
          <w:rFonts w:ascii="Times New Roman" w:hAnsi="Times New Roman" w:cs="Times New Roman"/>
          <w:sz w:val="24"/>
          <w:szCs w:val="24"/>
        </w:rPr>
        <w:t xml:space="preserve"> and Caballero, the model relatively accurately reflected the ERM system throughout the 1970s-1980s. This suggests that the ERM countries had relatively credible commitments to the system</w:t>
      </w:r>
      <w:r w:rsidR="00C56FBC">
        <w:rPr>
          <w:rFonts w:ascii="Times New Roman" w:hAnsi="Times New Roman" w:cs="Times New Roman"/>
          <w:sz w:val="24"/>
          <w:szCs w:val="24"/>
        </w:rPr>
        <w:t xml:space="preserve"> throughout this period</w:t>
      </w:r>
      <w:r w:rsidR="0074375E">
        <w:rPr>
          <w:rFonts w:ascii="Times New Roman" w:hAnsi="Times New Roman" w:cs="Times New Roman"/>
          <w:sz w:val="24"/>
          <w:szCs w:val="24"/>
        </w:rPr>
        <w:t xml:space="preserve">, and this produced relative stability and economic convergence. However, the credibility of the ERM system was shattered during the 1992 crisis. Without credibility, the model proposed by Krugman lost its stylized S-curve and fell apart under the subsequent speculative attacks that </w:t>
      </w:r>
      <w:r w:rsidR="0074375E">
        <w:rPr>
          <w:rFonts w:ascii="Times New Roman" w:hAnsi="Times New Roman" w:cs="Times New Roman"/>
          <w:sz w:val="24"/>
          <w:szCs w:val="24"/>
        </w:rPr>
        <w:lastRenderedPageBreak/>
        <w:t xml:space="preserve">swept through </w:t>
      </w:r>
      <w:r w:rsidR="00182634">
        <w:rPr>
          <w:rFonts w:ascii="Times New Roman" w:hAnsi="Times New Roman" w:cs="Times New Roman"/>
          <w:sz w:val="24"/>
          <w:szCs w:val="24"/>
        </w:rPr>
        <w:t xml:space="preserve">the </w:t>
      </w:r>
      <w:r w:rsidR="0074375E">
        <w:rPr>
          <w:rFonts w:ascii="Times New Roman" w:hAnsi="Times New Roman" w:cs="Times New Roman"/>
          <w:sz w:val="24"/>
          <w:szCs w:val="24"/>
        </w:rPr>
        <w:t>ERM members. Th</w:t>
      </w:r>
      <w:r w:rsidR="008B61A4">
        <w:rPr>
          <w:rFonts w:ascii="Times New Roman" w:hAnsi="Times New Roman" w:cs="Times New Roman"/>
          <w:sz w:val="24"/>
          <w:szCs w:val="24"/>
        </w:rPr>
        <w:t>e failure of the system reflected</w:t>
      </w:r>
      <w:r w:rsidR="0074375E">
        <w:rPr>
          <w:rFonts w:ascii="Times New Roman" w:hAnsi="Times New Roman" w:cs="Times New Roman"/>
          <w:sz w:val="24"/>
          <w:szCs w:val="24"/>
        </w:rPr>
        <w:t xml:space="preserve"> the diverging national policy preferences </w:t>
      </w:r>
      <w:r w:rsidR="008B61A4">
        <w:rPr>
          <w:rFonts w:ascii="Times New Roman" w:hAnsi="Times New Roman" w:cs="Times New Roman"/>
          <w:sz w:val="24"/>
          <w:szCs w:val="24"/>
        </w:rPr>
        <w:t xml:space="preserve">that were only revealed following the dramatic demand shock caused by German reunification. The lack of policy coordination </w:t>
      </w:r>
      <w:r w:rsidR="0046639F">
        <w:rPr>
          <w:rFonts w:ascii="Times New Roman" w:hAnsi="Times New Roman" w:cs="Times New Roman"/>
          <w:sz w:val="24"/>
          <w:szCs w:val="24"/>
        </w:rPr>
        <w:t>abolished credibility in the system, and policymakers were forced to make optimal cost-minimizing decisions that reflected their domestic countries’ respective macroeconomic fundamentals and policy preferences.</w:t>
      </w:r>
      <w:r w:rsidR="00182634">
        <w:rPr>
          <w:rFonts w:ascii="Times New Roman" w:hAnsi="Times New Roman" w:cs="Times New Roman"/>
          <w:sz w:val="24"/>
          <w:szCs w:val="24"/>
        </w:rPr>
        <w:t xml:space="preserve"> By the time the collapse concluded, the credibility of the Exchange Rate Mechanism was disastrously undermined. In the immediate aftermath the exchange rate pegs were expanded to +/- 15%, but credibility of the system was already lost and a new path to European monetary union had to be pursued.</w:t>
      </w:r>
    </w:p>
    <w:p w14:paraId="594C87D8" w14:textId="77777777" w:rsidR="004722B0" w:rsidRDefault="004722B0">
      <w:pPr>
        <w:rPr>
          <w:rFonts w:ascii="Times New Roman" w:hAnsi="Times New Roman" w:cs="Times New Roman"/>
          <w:sz w:val="24"/>
          <w:szCs w:val="24"/>
        </w:rPr>
      </w:pPr>
      <w:r>
        <w:rPr>
          <w:rFonts w:ascii="Times New Roman" w:hAnsi="Times New Roman" w:cs="Times New Roman"/>
          <w:sz w:val="24"/>
          <w:szCs w:val="24"/>
        </w:rPr>
        <w:br w:type="page"/>
      </w:r>
    </w:p>
    <w:p w14:paraId="46E1A269" w14:textId="618C28CD" w:rsidR="00717224" w:rsidRDefault="004722B0" w:rsidP="0071722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Appendix 1</w:t>
      </w:r>
    </w:p>
    <w:p w14:paraId="590636C9" w14:textId="6CD1814C" w:rsidR="004722B0" w:rsidRDefault="004722B0" w:rsidP="00717224">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C1F8DA" wp14:editId="7709E36A">
            <wp:extent cx="3802455" cy="272423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373" cy="2728478"/>
                    </a:xfrm>
                    <a:prstGeom prst="rect">
                      <a:avLst/>
                    </a:prstGeom>
                    <a:noFill/>
                    <a:ln>
                      <a:noFill/>
                    </a:ln>
                  </pic:spPr>
                </pic:pic>
              </a:graphicData>
            </a:graphic>
          </wp:inline>
        </w:drawing>
      </w:r>
    </w:p>
    <w:p w14:paraId="3C5A44DC" w14:textId="41E5B4AC" w:rsidR="00E84530" w:rsidRDefault="00E84530" w:rsidP="00717224">
      <w:pPr>
        <w:spacing w:line="360" w:lineRule="auto"/>
        <w:rPr>
          <w:rFonts w:ascii="Times New Roman" w:hAnsi="Times New Roman" w:cs="Times New Roman"/>
          <w:sz w:val="24"/>
          <w:szCs w:val="24"/>
        </w:rPr>
      </w:pPr>
      <w:r>
        <w:rPr>
          <w:rFonts w:ascii="Times New Roman" w:hAnsi="Times New Roman" w:cs="Times New Roman"/>
          <w:sz w:val="24"/>
          <w:szCs w:val="24"/>
        </w:rPr>
        <w:t>Krugman (1991)</w:t>
      </w:r>
    </w:p>
    <w:p w14:paraId="23744943" w14:textId="00D8BB00" w:rsidR="00717224" w:rsidRDefault="004722B0" w:rsidP="00717224">
      <w:pPr>
        <w:spacing w:line="360" w:lineRule="auto"/>
        <w:rPr>
          <w:rFonts w:ascii="Times New Roman" w:hAnsi="Times New Roman" w:cs="Times New Roman"/>
          <w:sz w:val="24"/>
          <w:szCs w:val="24"/>
        </w:rPr>
      </w:pPr>
      <w:r>
        <w:rPr>
          <w:rFonts w:ascii="Times New Roman" w:hAnsi="Times New Roman" w:cs="Times New Roman"/>
          <w:sz w:val="24"/>
          <w:szCs w:val="24"/>
        </w:rPr>
        <w:t>Appendix 2</w:t>
      </w:r>
    </w:p>
    <w:p w14:paraId="158AADF1" w14:textId="7ADF111C" w:rsidR="008A4B8B" w:rsidRDefault="004722B0" w:rsidP="00717224">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AA87D3" wp14:editId="1416A168">
            <wp:extent cx="3693795" cy="25984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795" cy="2598420"/>
                    </a:xfrm>
                    <a:prstGeom prst="rect">
                      <a:avLst/>
                    </a:prstGeom>
                    <a:noFill/>
                    <a:ln>
                      <a:noFill/>
                    </a:ln>
                  </pic:spPr>
                </pic:pic>
              </a:graphicData>
            </a:graphic>
          </wp:inline>
        </w:drawing>
      </w:r>
    </w:p>
    <w:p w14:paraId="5AA049CB" w14:textId="1F70EE85" w:rsidR="00E84530" w:rsidRDefault="00E84530" w:rsidP="00717224">
      <w:pPr>
        <w:spacing w:line="360" w:lineRule="auto"/>
        <w:rPr>
          <w:rFonts w:ascii="Times New Roman" w:hAnsi="Times New Roman" w:cs="Times New Roman"/>
          <w:sz w:val="24"/>
          <w:szCs w:val="24"/>
        </w:rPr>
      </w:pPr>
      <w:r>
        <w:rPr>
          <w:rFonts w:ascii="Times New Roman" w:hAnsi="Times New Roman" w:cs="Times New Roman"/>
          <w:sz w:val="24"/>
          <w:szCs w:val="24"/>
        </w:rPr>
        <w:t>Krugman (1991)</w:t>
      </w:r>
    </w:p>
    <w:p w14:paraId="5EFBE12D" w14:textId="77777777" w:rsidR="008A4B8B" w:rsidRDefault="008A4B8B">
      <w:pPr>
        <w:rPr>
          <w:rFonts w:ascii="Times New Roman" w:hAnsi="Times New Roman" w:cs="Times New Roman"/>
          <w:sz w:val="24"/>
          <w:szCs w:val="24"/>
        </w:rPr>
      </w:pPr>
      <w:r>
        <w:rPr>
          <w:rFonts w:ascii="Times New Roman" w:hAnsi="Times New Roman" w:cs="Times New Roman"/>
          <w:sz w:val="24"/>
          <w:szCs w:val="24"/>
        </w:rPr>
        <w:br w:type="page"/>
      </w:r>
    </w:p>
    <w:p w14:paraId="4A36DCB7" w14:textId="2A2E6BFB" w:rsidR="004722B0" w:rsidRPr="008445EB" w:rsidRDefault="008A4B8B" w:rsidP="008445EB">
      <w:pPr>
        <w:spacing w:line="360" w:lineRule="auto"/>
        <w:jc w:val="center"/>
        <w:rPr>
          <w:rFonts w:ascii="Times New Roman" w:hAnsi="Times New Roman" w:cs="Times New Roman"/>
          <w:sz w:val="24"/>
          <w:szCs w:val="24"/>
        </w:rPr>
      </w:pPr>
      <w:r w:rsidRPr="008445EB">
        <w:rPr>
          <w:rFonts w:ascii="Times New Roman" w:hAnsi="Times New Roman" w:cs="Times New Roman"/>
          <w:sz w:val="24"/>
          <w:szCs w:val="24"/>
        </w:rPr>
        <w:lastRenderedPageBreak/>
        <w:t>References</w:t>
      </w:r>
    </w:p>
    <w:p w14:paraId="51F13966" w14:textId="1ACE0908" w:rsidR="008A4B8B" w:rsidRPr="008445EB" w:rsidRDefault="008A4B8B" w:rsidP="008445EB">
      <w:pPr>
        <w:spacing w:line="360" w:lineRule="auto"/>
        <w:ind w:left="720" w:hanging="720"/>
        <w:rPr>
          <w:rFonts w:ascii="Times New Roman" w:hAnsi="Times New Roman" w:cs="Times New Roman"/>
          <w:sz w:val="24"/>
          <w:szCs w:val="24"/>
          <w:shd w:val="clear" w:color="auto" w:fill="FFFFFF"/>
        </w:rPr>
      </w:pPr>
      <w:r w:rsidRPr="008445EB">
        <w:rPr>
          <w:rFonts w:ascii="Times New Roman" w:hAnsi="Times New Roman" w:cs="Times New Roman"/>
          <w:sz w:val="24"/>
          <w:szCs w:val="24"/>
          <w:shd w:val="clear" w:color="auto" w:fill="FFFFFF"/>
        </w:rPr>
        <w:t>Bertola, Giuseppe and Ricardo Caballero. 1992. Target Zones and Realignments. </w:t>
      </w:r>
      <w:r w:rsidRPr="008445EB">
        <w:rPr>
          <w:rFonts w:ascii="Times New Roman" w:hAnsi="Times New Roman" w:cs="Times New Roman"/>
          <w:i/>
          <w:iCs/>
          <w:sz w:val="24"/>
          <w:szCs w:val="24"/>
          <w:shd w:val="clear" w:color="auto" w:fill="FFFFFF"/>
        </w:rPr>
        <w:t>American Economic Association</w:t>
      </w:r>
      <w:r w:rsidRPr="008445EB">
        <w:rPr>
          <w:rFonts w:ascii="Times New Roman" w:hAnsi="Times New Roman" w:cs="Times New Roman"/>
          <w:sz w:val="24"/>
          <w:szCs w:val="24"/>
          <w:shd w:val="clear" w:color="auto" w:fill="FFFFFF"/>
        </w:rPr>
        <w:t> 82, Nr. 3: 520-536. http://www.jstor.org/stable/2117319 (Zugegriffen: 3. April 2018).</w:t>
      </w:r>
    </w:p>
    <w:p w14:paraId="6D3D3F63" w14:textId="0A7B9803" w:rsidR="008A4B8B" w:rsidRPr="008445EB" w:rsidRDefault="008445EB" w:rsidP="008445EB">
      <w:pPr>
        <w:spacing w:line="360" w:lineRule="auto"/>
        <w:ind w:left="720" w:hanging="720"/>
        <w:rPr>
          <w:rFonts w:ascii="Times New Roman" w:hAnsi="Times New Roman" w:cs="Times New Roman"/>
          <w:sz w:val="24"/>
          <w:szCs w:val="24"/>
          <w:shd w:val="clear" w:color="auto" w:fill="FFFFFF"/>
        </w:rPr>
      </w:pPr>
      <w:r w:rsidRPr="008445EB">
        <w:rPr>
          <w:rFonts w:ascii="Times New Roman" w:hAnsi="Times New Roman" w:cs="Times New Roman"/>
          <w:sz w:val="24"/>
          <w:szCs w:val="24"/>
          <w:shd w:val="clear" w:color="auto" w:fill="FFFFFF"/>
        </w:rPr>
        <w:t>Buiter, Willem H, Giancarlo Corsetti and Paolo A Pesenti. 1998. </w:t>
      </w:r>
      <w:r w:rsidRPr="008445EB">
        <w:rPr>
          <w:rFonts w:ascii="Times New Roman" w:hAnsi="Times New Roman" w:cs="Times New Roman"/>
          <w:i/>
          <w:iCs/>
          <w:sz w:val="24"/>
          <w:szCs w:val="24"/>
          <w:shd w:val="clear" w:color="auto" w:fill="FFFFFF"/>
        </w:rPr>
        <w:t>Interpreting the ERM crisis</w:t>
      </w:r>
      <w:r w:rsidRPr="008445EB">
        <w:rPr>
          <w:rFonts w:ascii="Times New Roman" w:hAnsi="Times New Roman" w:cs="Times New Roman"/>
          <w:sz w:val="24"/>
          <w:szCs w:val="24"/>
          <w:shd w:val="clear" w:color="auto" w:fill="FFFFFF"/>
        </w:rPr>
        <w:t>. Princeton, N.J.: International Finance Section, Dept. of Economics, Princeton University.</w:t>
      </w:r>
    </w:p>
    <w:p w14:paraId="42835D84" w14:textId="030099F2" w:rsidR="008445EB" w:rsidRPr="008445EB" w:rsidRDefault="008445EB" w:rsidP="008445EB">
      <w:pPr>
        <w:spacing w:line="360" w:lineRule="auto"/>
        <w:ind w:left="720" w:hanging="720"/>
        <w:rPr>
          <w:rFonts w:ascii="Times New Roman" w:hAnsi="Times New Roman" w:cs="Times New Roman"/>
          <w:sz w:val="24"/>
          <w:szCs w:val="24"/>
          <w:shd w:val="clear" w:color="auto" w:fill="FFFFFF"/>
        </w:rPr>
      </w:pPr>
      <w:r w:rsidRPr="008445EB">
        <w:rPr>
          <w:rFonts w:ascii="Times New Roman" w:hAnsi="Times New Roman" w:cs="Times New Roman"/>
          <w:sz w:val="24"/>
          <w:szCs w:val="24"/>
          <w:shd w:val="clear" w:color="auto" w:fill="FFFFFF"/>
        </w:rPr>
        <w:t>Knot, Klaas, Jan-Egbert Sturm and Jakob de Haan. 1998. The credibility of the European exchange rate mechanism. </w:t>
      </w:r>
      <w:r w:rsidRPr="008445EB">
        <w:rPr>
          <w:rFonts w:ascii="Times New Roman" w:hAnsi="Times New Roman" w:cs="Times New Roman"/>
          <w:i/>
          <w:iCs/>
          <w:sz w:val="24"/>
          <w:szCs w:val="24"/>
          <w:shd w:val="clear" w:color="auto" w:fill="FFFFFF"/>
        </w:rPr>
        <w:t>Oxford Economic Papers</w:t>
      </w:r>
      <w:r w:rsidRPr="008445EB">
        <w:rPr>
          <w:rFonts w:ascii="Times New Roman" w:hAnsi="Times New Roman" w:cs="Times New Roman"/>
          <w:sz w:val="24"/>
          <w:szCs w:val="24"/>
          <w:shd w:val="clear" w:color="auto" w:fill="FFFFFF"/>
        </w:rPr>
        <w:t> 50, Nr. 2: 186-200. doi:10.</w:t>
      </w:r>
      <w:r w:rsidRPr="008445EB">
        <w:rPr>
          <w:rFonts w:ascii="Times New Roman" w:hAnsi="Times New Roman" w:cs="Times New Roman"/>
          <w:sz w:val="24"/>
          <w:szCs w:val="24"/>
          <w:shd w:val="clear" w:color="auto" w:fill="FFFFFF"/>
        </w:rPr>
        <w:t>1093/oxfordjournals.oep.a028641</w:t>
      </w:r>
      <w:r w:rsidRPr="008445EB">
        <w:rPr>
          <w:rFonts w:ascii="Times New Roman" w:hAnsi="Times New Roman" w:cs="Times New Roman"/>
          <w:sz w:val="24"/>
          <w:szCs w:val="24"/>
          <w:shd w:val="clear" w:color="auto" w:fill="FFFFFF"/>
        </w:rPr>
        <w:t>.</w:t>
      </w:r>
    </w:p>
    <w:p w14:paraId="576EE1F1" w14:textId="48721E7D" w:rsidR="008445EB" w:rsidRPr="008445EB" w:rsidRDefault="008445EB" w:rsidP="008445EB">
      <w:pPr>
        <w:spacing w:line="360" w:lineRule="auto"/>
        <w:ind w:left="720" w:hanging="720"/>
        <w:rPr>
          <w:rFonts w:ascii="Times New Roman" w:hAnsi="Times New Roman" w:cs="Times New Roman"/>
          <w:sz w:val="24"/>
          <w:szCs w:val="24"/>
          <w:shd w:val="clear" w:color="auto" w:fill="FFFFFF"/>
        </w:rPr>
      </w:pPr>
      <w:r w:rsidRPr="008445EB">
        <w:rPr>
          <w:rFonts w:ascii="Times New Roman" w:hAnsi="Times New Roman" w:cs="Times New Roman"/>
          <w:sz w:val="24"/>
          <w:szCs w:val="24"/>
          <w:shd w:val="clear" w:color="auto" w:fill="FFFFFF"/>
        </w:rPr>
        <w:t>Krugman, P. R. 1991. Target Zones and Exchange Rate Dynamics. </w:t>
      </w:r>
      <w:r w:rsidRPr="008445EB">
        <w:rPr>
          <w:rFonts w:ascii="Times New Roman" w:hAnsi="Times New Roman" w:cs="Times New Roman"/>
          <w:i/>
          <w:iCs/>
          <w:sz w:val="24"/>
          <w:szCs w:val="24"/>
          <w:shd w:val="clear" w:color="auto" w:fill="FFFFFF"/>
        </w:rPr>
        <w:t>The Quarterly Journal of Economics</w:t>
      </w:r>
      <w:r w:rsidRPr="008445EB">
        <w:rPr>
          <w:rFonts w:ascii="Times New Roman" w:hAnsi="Times New Roman" w:cs="Times New Roman"/>
          <w:sz w:val="24"/>
          <w:szCs w:val="24"/>
          <w:shd w:val="clear" w:color="auto" w:fill="FFFFFF"/>
        </w:rPr>
        <w:t xml:space="preserve"> 106, Nr. </w:t>
      </w:r>
      <w:r w:rsidRPr="008445EB">
        <w:rPr>
          <w:rFonts w:ascii="Times New Roman" w:hAnsi="Times New Roman" w:cs="Times New Roman"/>
          <w:sz w:val="24"/>
          <w:szCs w:val="24"/>
          <w:shd w:val="clear" w:color="auto" w:fill="FFFFFF"/>
        </w:rPr>
        <w:t>3: 669-682. doi:10.2307/2937922</w:t>
      </w:r>
      <w:r w:rsidRPr="008445EB">
        <w:rPr>
          <w:rFonts w:ascii="Times New Roman" w:hAnsi="Times New Roman" w:cs="Times New Roman"/>
          <w:sz w:val="24"/>
          <w:szCs w:val="24"/>
          <w:shd w:val="clear" w:color="auto" w:fill="FFFFFF"/>
        </w:rPr>
        <w:t>.</w:t>
      </w:r>
    </w:p>
    <w:p w14:paraId="48B71A9B" w14:textId="60F193D4" w:rsidR="008445EB" w:rsidRPr="008445EB" w:rsidRDefault="008445EB" w:rsidP="008445EB">
      <w:pPr>
        <w:spacing w:line="360" w:lineRule="auto"/>
        <w:ind w:left="720" w:hanging="720"/>
        <w:rPr>
          <w:rFonts w:ascii="Times New Roman" w:hAnsi="Times New Roman" w:cs="Times New Roman"/>
          <w:sz w:val="24"/>
          <w:szCs w:val="24"/>
          <w:shd w:val="clear" w:color="auto" w:fill="FFFFFF"/>
        </w:rPr>
      </w:pPr>
      <w:r w:rsidRPr="008445EB">
        <w:rPr>
          <w:rFonts w:ascii="Times New Roman" w:hAnsi="Times New Roman" w:cs="Times New Roman"/>
          <w:sz w:val="24"/>
          <w:szCs w:val="24"/>
          <w:shd w:val="clear" w:color="auto" w:fill="FFFFFF"/>
        </w:rPr>
        <w:t>Palm, Franz. 1996. The European exchange rate mechanism and the European monetary union. </w:t>
      </w:r>
      <w:r w:rsidRPr="008445EB">
        <w:rPr>
          <w:rFonts w:ascii="Times New Roman" w:hAnsi="Times New Roman" w:cs="Times New Roman"/>
          <w:i/>
          <w:iCs/>
          <w:sz w:val="24"/>
          <w:szCs w:val="24"/>
          <w:shd w:val="clear" w:color="auto" w:fill="FFFFFF"/>
        </w:rPr>
        <w:t>De Economist</w:t>
      </w:r>
      <w:r w:rsidRPr="008445EB">
        <w:rPr>
          <w:rFonts w:ascii="Times New Roman" w:hAnsi="Times New Roman" w:cs="Times New Roman"/>
          <w:sz w:val="24"/>
          <w:szCs w:val="24"/>
          <w:shd w:val="clear" w:color="auto" w:fill="FFFFFF"/>
        </w:rPr>
        <w:t> 144, Nr. 2: 305-324. doi:10.1007/bf01681905.</w:t>
      </w:r>
    </w:p>
    <w:p w14:paraId="4ACC46CF" w14:textId="167102C5" w:rsidR="008445EB" w:rsidRPr="008445EB" w:rsidRDefault="008445EB" w:rsidP="008445EB">
      <w:pPr>
        <w:spacing w:line="360" w:lineRule="auto"/>
        <w:ind w:left="720" w:hanging="720"/>
        <w:rPr>
          <w:rFonts w:ascii="Times New Roman" w:hAnsi="Times New Roman" w:cs="Times New Roman"/>
          <w:sz w:val="24"/>
          <w:szCs w:val="24"/>
        </w:rPr>
      </w:pPr>
      <w:r w:rsidRPr="008445EB">
        <w:rPr>
          <w:rFonts w:ascii="Times New Roman" w:hAnsi="Times New Roman" w:cs="Times New Roman"/>
          <w:sz w:val="24"/>
          <w:szCs w:val="24"/>
          <w:shd w:val="clear" w:color="auto" w:fill="FFFFFF"/>
        </w:rPr>
        <w:t>Svensson, Lars E.O. 1994. Fixed exchange rates as a means to price stability: What have we learned?. </w:t>
      </w:r>
      <w:r w:rsidRPr="008445EB">
        <w:rPr>
          <w:rFonts w:ascii="Times New Roman" w:hAnsi="Times New Roman" w:cs="Times New Roman"/>
          <w:i/>
          <w:iCs/>
          <w:sz w:val="24"/>
          <w:szCs w:val="24"/>
          <w:shd w:val="clear" w:color="auto" w:fill="FFFFFF"/>
        </w:rPr>
        <w:t>European Economic Review</w:t>
      </w:r>
      <w:r w:rsidRPr="008445EB">
        <w:rPr>
          <w:rFonts w:ascii="Times New Roman" w:hAnsi="Times New Roman" w:cs="Times New Roman"/>
          <w:sz w:val="24"/>
          <w:szCs w:val="24"/>
          <w:shd w:val="clear" w:color="auto" w:fill="FFFFFF"/>
        </w:rPr>
        <w:t> 38, Nr. 3-4: 447-468. do</w:t>
      </w:r>
      <w:r w:rsidRPr="008445EB">
        <w:rPr>
          <w:rFonts w:ascii="Times New Roman" w:hAnsi="Times New Roman" w:cs="Times New Roman"/>
          <w:sz w:val="24"/>
          <w:szCs w:val="24"/>
          <w:shd w:val="clear" w:color="auto" w:fill="FFFFFF"/>
        </w:rPr>
        <w:t>i:10.1016/0014-2921(94)90084-1</w:t>
      </w:r>
      <w:r w:rsidRPr="008445EB">
        <w:rPr>
          <w:rFonts w:ascii="Times New Roman" w:hAnsi="Times New Roman" w:cs="Times New Roman"/>
          <w:sz w:val="24"/>
          <w:szCs w:val="24"/>
          <w:shd w:val="clear" w:color="auto" w:fill="FFFFFF"/>
        </w:rPr>
        <w:t>.</w:t>
      </w:r>
    </w:p>
    <w:sectPr w:rsidR="008445EB" w:rsidRPr="008445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5035" w14:textId="77777777" w:rsidR="006C5AA9" w:rsidRDefault="006C5AA9" w:rsidP="00474EF3">
      <w:pPr>
        <w:spacing w:after="0" w:line="240" w:lineRule="auto"/>
      </w:pPr>
      <w:r>
        <w:separator/>
      </w:r>
    </w:p>
  </w:endnote>
  <w:endnote w:type="continuationSeparator" w:id="0">
    <w:p w14:paraId="1BF7D2F1" w14:textId="77777777" w:rsidR="006C5AA9" w:rsidRDefault="006C5AA9" w:rsidP="0047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BCA7" w14:textId="77777777" w:rsidR="006C5AA9" w:rsidRDefault="006C5AA9" w:rsidP="00474EF3">
      <w:pPr>
        <w:spacing w:after="0" w:line="240" w:lineRule="auto"/>
      </w:pPr>
      <w:r>
        <w:separator/>
      </w:r>
    </w:p>
  </w:footnote>
  <w:footnote w:type="continuationSeparator" w:id="0">
    <w:p w14:paraId="41056F3C" w14:textId="77777777" w:rsidR="006C5AA9" w:rsidRDefault="006C5AA9" w:rsidP="0047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632303"/>
      <w:docPartObj>
        <w:docPartGallery w:val="Page Numbers (Top of Page)"/>
        <w:docPartUnique/>
      </w:docPartObj>
    </w:sdtPr>
    <w:sdtEndPr>
      <w:rPr>
        <w:noProof/>
      </w:rPr>
    </w:sdtEndPr>
    <w:sdtContent>
      <w:p w14:paraId="77A00CCE" w14:textId="5F9092A0" w:rsidR="0028740E" w:rsidRDefault="0028740E">
        <w:pPr>
          <w:pStyle w:val="Header"/>
          <w:jc w:val="right"/>
        </w:pPr>
        <w:r>
          <w:fldChar w:fldCharType="begin"/>
        </w:r>
        <w:r>
          <w:instrText xml:space="preserve"> PAGE   \* MERGEFORMAT </w:instrText>
        </w:r>
        <w:r>
          <w:fldChar w:fldCharType="separate"/>
        </w:r>
        <w:r w:rsidR="00AD27FD">
          <w:rPr>
            <w:noProof/>
          </w:rPr>
          <w:t>10</w:t>
        </w:r>
        <w:r>
          <w:rPr>
            <w:noProof/>
          </w:rPr>
          <w:fldChar w:fldCharType="end"/>
        </w:r>
      </w:p>
    </w:sdtContent>
  </w:sdt>
  <w:p w14:paraId="7D71F418" w14:textId="77777777" w:rsidR="0028740E" w:rsidRDefault="00287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62EFB"/>
    <w:multiLevelType w:val="hybridMultilevel"/>
    <w:tmpl w:val="A3E8ACAC"/>
    <w:lvl w:ilvl="0" w:tplc="EC5C0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wN7UwNDI1s7Q0tzBR0lEKTi0uzszPAykwrAUApmxeNiwAAAA="/>
  </w:docVars>
  <w:rsids>
    <w:rsidRoot w:val="00290B98"/>
    <w:rsid w:val="00021CFF"/>
    <w:rsid w:val="00067EF5"/>
    <w:rsid w:val="000A3201"/>
    <w:rsid w:val="000C1F2E"/>
    <w:rsid w:val="000D094B"/>
    <w:rsid w:val="000D3618"/>
    <w:rsid w:val="000E59AA"/>
    <w:rsid w:val="00102055"/>
    <w:rsid w:val="00132C1F"/>
    <w:rsid w:val="00140861"/>
    <w:rsid w:val="0015467C"/>
    <w:rsid w:val="00171CA5"/>
    <w:rsid w:val="00182634"/>
    <w:rsid w:val="001873EA"/>
    <w:rsid w:val="002057A3"/>
    <w:rsid w:val="00227AEC"/>
    <w:rsid w:val="00235921"/>
    <w:rsid w:val="0026319B"/>
    <w:rsid w:val="00286729"/>
    <w:rsid w:val="0028740E"/>
    <w:rsid w:val="00290B98"/>
    <w:rsid w:val="002A0750"/>
    <w:rsid w:val="00337F99"/>
    <w:rsid w:val="00342737"/>
    <w:rsid w:val="0039301B"/>
    <w:rsid w:val="00462F3C"/>
    <w:rsid w:val="0046639F"/>
    <w:rsid w:val="004722B0"/>
    <w:rsid w:val="00474EF3"/>
    <w:rsid w:val="004A1E59"/>
    <w:rsid w:val="004B1C6B"/>
    <w:rsid w:val="004B7183"/>
    <w:rsid w:val="004D46BF"/>
    <w:rsid w:val="00502B13"/>
    <w:rsid w:val="00505636"/>
    <w:rsid w:val="00526582"/>
    <w:rsid w:val="00543956"/>
    <w:rsid w:val="005C4809"/>
    <w:rsid w:val="005F53A2"/>
    <w:rsid w:val="00613409"/>
    <w:rsid w:val="00636909"/>
    <w:rsid w:val="006B0D45"/>
    <w:rsid w:val="006B5E4B"/>
    <w:rsid w:val="006C5AA9"/>
    <w:rsid w:val="006D6641"/>
    <w:rsid w:val="00707D73"/>
    <w:rsid w:val="00717224"/>
    <w:rsid w:val="0074375E"/>
    <w:rsid w:val="007571E5"/>
    <w:rsid w:val="007B6B91"/>
    <w:rsid w:val="007D137A"/>
    <w:rsid w:val="008445EB"/>
    <w:rsid w:val="008636B6"/>
    <w:rsid w:val="00875F4C"/>
    <w:rsid w:val="008A4B8B"/>
    <w:rsid w:val="008B61A4"/>
    <w:rsid w:val="008E0FC3"/>
    <w:rsid w:val="008F63BA"/>
    <w:rsid w:val="009637D2"/>
    <w:rsid w:val="00973D0B"/>
    <w:rsid w:val="009B4EAE"/>
    <w:rsid w:val="009F2096"/>
    <w:rsid w:val="00A14DAE"/>
    <w:rsid w:val="00A24796"/>
    <w:rsid w:val="00A60C1F"/>
    <w:rsid w:val="00A77A9F"/>
    <w:rsid w:val="00A902FE"/>
    <w:rsid w:val="00AC7AFA"/>
    <w:rsid w:val="00AD27FD"/>
    <w:rsid w:val="00AF365B"/>
    <w:rsid w:val="00B3374A"/>
    <w:rsid w:val="00B55EFF"/>
    <w:rsid w:val="00B64FE9"/>
    <w:rsid w:val="00B7663F"/>
    <w:rsid w:val="00B81790"/>
    <w:rsid w:val="00B92C9F"/>
    <w:rsid w:val="00BF1FFA"/>
    <w:rsid w:val="00C21320"/>
    <w:rsid w:val="00C23504"/>
    <w:rsid w:val="00C468A4"/>
    <w:rsid w:val="00C56FBC"/>
    <w:rsid w:val="00C67D96"/>
    <w:rsid w:val="00C96676"/>
    <w:rsid w:val="00CC2C98"/>
    <w:rsid w:val="00CE2091"/>
    <w:rsid w:val="00CF68E8"/>
    <w:rsid w:val="00D1245E"/>
    <w:rsid w:val="00DB7D1C"/>
    <w:rsid w:val="00E03404"/>
    <w:rsid w:val="00E30BC2"/>
    <w:rsid w:val="00E84530"/>
    <w:rsid w:val="00ED67F9"/>
    <w:rsid w:val="00EE539E"/>
    <w:rsid w:val="00EF70AD"/>
    <w:rsid w:val="00F11E35"/>
    <w:rsid w:val="00F908B7"/>
    <w:rsid w:val="00FC625A"/>
    <w:rsid w:val="00FF5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18F0"/>
  <w15:chartTrackingRefBased/>
  <w15:docId w15:val="{F899C781-B9EC-4852-86BD-A1D34B2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90B98"/>
  </w:style>
  <w:style w:type="character" w:customStyle="1" w:styleId="DateChar">
    <w:name w:val="Date Char"/>
    <w:basedOn w:val="DefaultParagraphFont"/>
    <w:link w:val="Date"/>
    <w:uiPriority w:val="99"/>
    <w:semiHidden/>
    <w:rsid w:val="00290B98"/>
  </w:style>
  <w:style w:type="character" w:styleId="CommentReference">
    <w:name w:val="annotation reference"/>
    <w:basedOn w:val="DefaultParagraphFont"/>
    <w:uiPriority w:val="99"/>
    <w:semiHidden/>
    <w:unhideWhenUsed/>
    <w:rsid w:val="00A902FE"/>
    <w:rPr>
      <w:sz w:val="16"/>
      <w:szCs w:val="16"/>
    </w:rPr>
  </w:style>
  <w:style w:type="paragraph" w:styleId="CommentText">
    <w:name w:val="annotation text"/>
    <w:basedOn w:val="Normal"/>
    <w:link w:val="CommentTextChar"/>
    <w:uiPriority w:val="99"/>
    <w:semiHidden/>
    <w:unhideWhenUsed/>
    <w:rsid w:val="00A902FE"/>
    <w:pPr>
      <w:spacing w:line="240" w:lineRule="auto"/>
    </w:pPr>
    <w:rPr>
      <w:sz w:val="20"/>
      <w:szCs w:val="20"/>
    </w:rPr>
  </w:style>
  <w:style w:type="character" w:customStyle="1" w:styleId="CommentTextChar">
    <w:name w:val="Comment Text Char"/>
    <w:basedOn w:val="DefaultParagraphFont"/>
    <w:link w:val="CommentText"/>
    <w:uiPriority w:val="99"/>
    <w:semiHidden/>
    <w:rsid w:val="00A902FE"/>
    <w:rPr>
      <w:sz w:val="20"/>
      <w:szCs w:val="20"/>
    </w:rPr>
  </w:style>
  <w:style w:type="paragraph" w:styleId="CommentSubject">
    <w:name w:val="annotation subject"/>
    <w:basedOn w:val="CommentText"/>
    <w:next w:val="CommentText"/>
    <w:link w:val="CommentSubjectChar"/>
    <w:uiPriority w:val="99"/>
    <w:semiHidden/>
    <w:unhideWhenUsed/>
    <w:rsid w:val="00A902FE"/>
    <w:rPr>
      <w:b/>
      <w:bCs/>
    </w:rPr>
  </w:style>
  <w:style w:type="character" w:customStyle="1" w:styleId="CommentSubjectChar">
    <w:name w:val="Comment Subject Char"/>
    <w:basedOn w:val="CommentTextChar"/>
    <w:link w:val="CommentSubject"/>
    <w:uiPriority w:val="99"/>
    <w:semiHidden/>
    <w:rsid w:val="00A902FE"/>
    <w:rPr>
      <w:b/>
      <w:bCs/>
      <w:sz w:val="20"/>
      <w:szCs w:val="20"/>
    </w:rPr>
  </w:style>
  <w:style w:type="paragraph" w:styleId="BalloonText">
    <w:name w:val="Balloon Text"/>
    <w:basedOn w:val="Normal"/>
    <w:link w:val="BalloonTextChar"/>
    <w:uiPriority w:val="99"/>
    <w:semiHidden/>
    <w:unhideWhenUsed/>
    <w:rsid w:val="00A90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FE"/>
    <w:rPr>
      <w:rFonts w:ascii="Segoe UI" w:hAnsi="Segoe UI" w:cs="Segoe UI"/>
      <w:sz w:val="18"/>
      <w:szCs w:val="18"/>
    </w:rPr>
  </w:style>
  <w:style w:type="paragraph" w:styleId="ListParagraph">
    <w:name w:val="List Paragraph"/>
    <w:basedOn w:val="Normal"/>
    <w:uiPriority w:val="34"/>
    <w:qFormat/>
    <w:rsid w:val="0026319B"/>
    <w:pPr>
      <w:ind w:left="720"/>
      <w:contextualSpacing/>
    </w:pPr>
  </w:style>
  <w:style w:type="paragraph" w:styleId="Header">
    <w:name w:val="header"/>
    <w:basedOn w:val="Normal"/>
    <w:link w:val="HeaderChar"/>
    <w:uiPriority w:val="99"/>
    <w:unhideWhenUsed/>
    <w:rsid w:val="00474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EF3"/>
  </w:style>
  <w:style w:type="paragraph" w:styleId="Footer">
    <w:name w:val="footer"/>
    <w:basedOn w:val="Normal"/>
    <w:link w:val="FooterChar"/>
    <w:uiPriority w:val="99"/>
    <w:unhideWhenUsed/>
    <w:rsid w:val="0047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10</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Coco</dc:creator>
  <cp:keywords/>
  <dc:description/>
  <cp:lastModifiedBy>Noah Coco</cp:lastModifiedBy>
  <cp:revision>36</cp:revision>
  <dcterms:created xsi:type="dcterms:W3CDTF">2018-03-31T16:02:00Z</dcterms:created>
  <dcterms:modified xsi:type="dcterms:W3CDTF">2018-04-03T18:16:00Z</dcterms:modified>
</cp:coreProperties>
</file>