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45ABB" w14:textId="77777777" w:rsidR="00A61E5B" w:rsidRPr="00070E38" w:rsidRDefault="007E2CC2" w:rsidP="003D3345">
      <w:pPr>
        <w:spacing w:line="276" w:lineRule="auto"/>
      </w:pPr>
      <w:r w:rsidRPr="00070E38">
        <w:t xml:space="preserve">To: </w:t>
      </w:r>
      <w:r w:rsidR="004D32FE" w:rsidRPr="00070E38">
        <w:t xml:space="preserve">Jagat Prakash Nadda; Union Minister of Health and Family Welfare for the Government of India  </w:t>
      </w:r>
    </w:p>
    <w:p w14:paraId="29D95E60" w14:textId="19282984" w:rsidR="007E2CC2" w:rsidRPr="00070E38" w:rsidRDefault="007E2CC2" w:rsidP="003D3345">
      <w:pPr>
        <w:spacing w:line="276" w:lineRule="auto"/>
      </w:pPr>
      <w:r w:rsidRPr="00070E38">
        <w:t xml:space="preserve">From: Madison Strine; Natural Sciences </w:t>
      </w:r>
      <w:r w:rsidR="00C47D85" w:rsidRPr="00070E38">
        <w:t>student</w:t>
      </w:r>
      <w:r w:rsidRPr="00070E38">
        <w:t xml:space="preserve"> with Global Health Studies Certificate at the University of Pittsburgh</w:t>
      </w:r>
    </w:p>
    <w:p w14:paraId="13064352" w14:textId="77777777" w:rsidR="007E2CC2" w:rsidRPr="00070E38" w:rsidRDefault="007E2CC2" w:rsidP="003D3345">
      <w:pPr>
        <w:spacing w:line="276" w:lineRule="auto"/>
      </w:pPr>
      <w:r w:rsidRPr="00070E38">
        <w:t>Expert Date: December 7, 2018</w:t>
      </w:r>
    </w:p>
    <w:p w14:paraId="3F1F696D" w14:textId="203AC42B" w:rsidR="00CC0AFF" w:rsidRPr="00070E38" w:rsidRDefault="007E2CC2" w:rsidP="003D3345">
      <w:pPr>
        <w:spacing w:line="276" w:lineRule="auto"/>
      </w:pPr>
      <w:r w:rsidRPr="00070E38">
        <w:t xml:space="preserve">RE: Pharmaceutical Distribution Reform Recommendations for Decreasing Antimicrobial Resistance </w:t>
      </w:r>
      <w:r w:rsidR="00CC0AFF" w:rsidRPr="00070E38">
        <w:t>in India</w:t>
      </w:r>
    </w:p>
    <w:p w14:paraId="09846012" w14:textId="77777777" w:rsidR="003D3345" w:rsidRPr="00070E38" w:rsidRDefault="003D3345" w:rsidP="003D3345">
      <w:pPr>
        <w:spacing w:line="276" w:lineRule="auto"/>
      </w:pPr>
    </w:p>
    <w:p w14:paraId="3D59DC5E" w14:textId="77777777" w:rsidR="007E2CC2" w:rsidRPr="00070E38" w:rsidRDefault="007E2CC2" w:rsidP="00A659D0">
      <w:pPr>
        <w:spacing w:line="480" w:lineRule="auto"/>
        <w:rPr>
          <w:b/>
          <w:u w:val="single"/>
        </w:rPr>
      </w:pPr>
      <w:r w:rsidRPr="00070E38">
        <w:rPr>
          <w:b/>
          <w:u w:val="single"/>
        </w:rPr>
        <w:t>Executive Summary:</w:t>
      </w:r>
    </w:p>
    <w:p w14:paraId="3B67C73C" w14:textId="0BCEB362" w:rsidR="004D32FE" w:rsidRPr="00070E38" w:rsidRDefault="003D3345" w:rsidP="00A659D0">
      <w:pPr>
        <w:spacing w:line="480" w:lineRule="auto"/>
        <w:rPr>
          <w:b/>
        </w:rPr>
      </w:pPr>
      <w:r w:rsidRPr="00070E38">
        <w:rPr>
          <w:b/>
        </w:rPr>
        <w:tab/>
      </w:r>
      <w:r w:rsidRPr="00070E38">
        <w:rPr>
          <w:rFonts w:eastAsia="Times New Roman"/>
          <w:color w:val="000000" w:themeColor="text1"/>
          <w:shd w:val="clear" w:color="auto" w:fill="FFFFFF"/>
        </w:rPr>
        <w:t xml:space="preserve">As India </w:t>
      </w:r>
      <w:r w:rsidR="0050399D" w:rsidRPr="00070E38">
        <w:rPr>
          <w:rFonts w:eastAsia="Times New Roman"/>
          <w:color w:val="000000" w:themeColor="text1"/>
          <w:shd w:val="clear" w:color="auto" w:fill="FFFFFF"/>
        </w:rPr>
        <w:t xml:space="preserve">endeavors </w:t>
      </w:r>
      <w:r w:rsidRPr="00070E38">
        <w:rPr>
          <w:rFonts w:eastAsia="Times New Roman"/>
          <w:color w:val="000000" w:themeColor="text1"/>
          <w:shd w:val="clear" w:color="auto" w:fill="FFFFFF"/>
        </w:rPr>
        <w:t xml:space="preserve">to lose its United Nations designation as a developing country, the population </w:t>
      </w:r>
      <w:r w:rsidR="0050399D" w:rsidRPr="00070E38">
        <w:rPr>
          <w:rFonts w:eastAsia="Times New Roman"/>
          <w:color w:val="000000" w:themeColor="text1"/>
          <w:shd w:val="clear" w:color="auto" w:fill="FFFFFF"/>
        </w:rPr>
        <w:t>is</w:t>
      </w:r>
      <w:r w:rsidRPr="00070E38">
        <w:rPr>
          <w:rFonts w:eastAsia="Times New Roman"/>
          <w:color w:val="000000" w:themeColor="text1"/>
          <w:shd w:val="clear" w:color="auto" w:fill="FFFFFF"/>
        </w:rPr>
        <w:t xml:space="preserve"> growing and average income </w:t>
      </w:r>
      <w:r w:rsidR="0050399D" w:rsidRPr="00070E38">
        <w:rPr>
          <w:rFonts w:eastAsia="Times New Roman"/>
          <w:color w:val="000000" w:themeColor="text1"/>
          <w:shd w:val="clear" w:color="auto" w:fill="FFFFFF"/>
        </w:rPr>
        <w:t xml:space="preserve">is </w:t>
      </w:r>
      <w:r w:rsidRPr="00070E38">
        <w:rPr>
          <w:rFonts w:eastAsia="Times New Roman"/>
          <w:color w:val="000000" w:themeColor="text1"/>
          <w:shd w:val="clear" w:color="auto" w:fill="FFFFFF"/>
        </w:rPr>
        <w:t>increasing</w:t>
      </w:r>
      <w:r w:rsidR="00E60A64" w:rsidRPr="00070E38">
        <w:rPr>
          <w:rFonts w:eastAsia="Times New Roman"/>
          <w:color w:val="000000" w:themeColor="text1"/>
          <w:shd w:val="clear" w:color="auto" w:fill="FFFFFF"/>
        </w:rPr>
        <w:t>.</w:t>
      </w:r>
      <w:r w:rsidR="000B0ED0" w:rsidRPr="00070E38">
        <w:rPr>
          <w:rStyle w:val="FootnoteReference"/>
          <w:rFonts w:eastAsia="Times New Roman"/>
          <w:color w:val="000000" w:themeColor="text1"/>
          <w:shd w:val="clear" w:color="auto" w:fill="FFFFFF"/>
        </w:rPr>
        <w:footnoteReference w:id="1"/>
      </w:r>
      <w:r w:rsidR="00E60A64" w:rsidRPr="00070E38">
        <w:rPr>
          <w:rFonts w:eastAsia="Times New Roman"/>
          <w:color w:val="000000" w:themeColor="text1"/>
          <w:shd w:val="clear" w:color="auto" w:fill="FFFFFF"/>
          <w:vertAlign w:val="superscript"/>
        </w:rPr>
        <w:t xml:space="preserve"> </w:t>
      </w:r>
      <w:r w:rsidRPr="00070E38">
        <w:rPr>
          <w:rFonts w:eastAsia="Times New Roman"/>
          <w:color w:val="000000" w:themeColor="text1"/>
          <w:shd w:val="clear" w:color="auto" w:fill="FFFFFF"/>
        </w:rPr>
        <w:t>However, prices of antibiotics are decreasing and a high rate of infectious disease continues</w:t>
      </w:r>
      <w:r w:rsidR="00E60A64" w:rsidRPr="00070E38">
        <w:rPr>
          <w:rFonts w:eastAsia="Times New Roman"/>
          <w:color w:val="000000" w:themeColor="text1"/>
          <w:shd w:val="clear" w:color="auto" w:fill="FFFFFF"/>
        </w:rPr>
        <w:t>,</w:t>
      </w:r>
      <w:r w:rsidRPr="00070E38">
        <w:rPr>
          <w:rFonts w:eastAsia="Times New Roman"/>
          <w:color w:val="000000" w:themeColor="text1"/>
          <w:shd w:val="clear" w:color="auto" w:fill="FFFFFF"/>
        </w:rPr>
        <w:t xml:space="preserve"> leaving India as a country with overwhelming rates of antimicrobial resistance</w:t>
      </w:r>
      <w:r w:rsidR="0050399D" w:rsidRPr="00070E38">
        <w:rPr>
          <w:rFonts w:eastAsia="Times New Roman"/>
          <w:color w:val="000000" w:themeColor="text1"/>
          <w:shd w:val="clear" w:color="auto" w:fill="FFFFFF"/>
        </w:rPr>
        <w:t xml:space="preserve"> due to the overuse of antibiotics</w:t>
      </w:r>
      <w:r w:rsidR="000B0ED0" w:rsidRPr="00070E38">
        <w:rPr>
          <w:rFonts w:eastAsia="Times New Roman"/>
          <w:color w:val="000000" w:themeColor="text1"/>
          <w:shd w:val="clear" w:color="auto" w:fill="FFFFFF"/>
        </w:rPr>
        <w:t>.</w:t>
      </w:r>
      <w:r w:rsidR="000B0ED0" w:rsidRPr="00070E38">
        <w:rPr>
          <w:rStyle w:val="FootnoteReference"/>
          <w:rFonts w:eastAsia="Times New Roman"/>
          <w:color w:val="000000" w:themeColor="text1"/>
          <w:shd w:val="clear" w:color="auto" w:fill="FFFFFF"/>
        </w:rPr>
        <w:footnoteReference w:id="2"/>
      </w:r>
      <w:r w:rsidR="000B0ED0" w:rsidRPr="00070E38">
        <w:rPr>
          <w:rFonts w:eastAsia="Times New Roman"/>
          <w:color w:val="000000" w:themeColor="text1"/>
          <w:shd w:val="clear" w:color="auto" w:fill="FFFFFF"/>
          <w:vertAlign w:val="superscript"/>
        </w:rPr>
        <w:t xml:space="preserve"> </w:t>
      </w:r>
      <w:r w:rsidR="00CE1ED2" w:rsidRPr="00070E38">
        <w:rPr>
          <w:rFonts w:eastAsia="Times New Roman"/>
          <w:color w:val="000000" w:themeColor="text1"/>
          <w:shd w:val="clear" w:color="auto" w:fill="FFFFFF"/>
        </w:rPr>
        <w:t>Current programs focus on</w:t>
      </w:r>
      <w:r w:rsidR="00023504" w:rsidRPr="00070E38">
        <w:rPr>
          <w:rFonts w:eastAsia="Times New Roman"/>
          <w:color w:val="000000" w:themeColor="text1"/>
          <w:shd w:val="clear" w:color="auto" w:fill="FFFFFF"/>
        </w:rPr>
        <w:t xml:space="preserve"> national and international collaboration</w:t>
      </w:r>
      <w:r w:rsidR="0050399D" w:rsidRPr="00070E38">
        <w:rPr>
          <w:rFonts w:eastAsia="Times New Roman"/>
          <w:color w:val="000000" w:themeColor="text1"/>
          <w:shd w:val="clear" w:color="auto" w:fill="FFFFFF"/>
        </w:rPr>
        <w:t>,</w:t>
      </w:r>
      <w:r w:rsidR="00023504" w:rsidRPr="00070E38">
        <w:rPr>
          <w:rFonts w:eastAsia="Times New Roman"/>
          <w:color w:val="000000" w:themeColor="text1"/>
          <w:shd w:val="clear" w:color="auto" w:fill="FFFFFF"/>
        </w:rPr>
        <w:t xml:space="preserve"> addressing </w:t>
      </w:r>
      <w:r w:rsidR="00CE1ED2" w:rsidRPr="00070E38">
        <w:rPr>
          <w:rFonts w:eastAsia="Times New Roman"/>
          <w:color w:val="000000" w:themeColor="text1"/>
          <w:shd w:val="clear" w:color="auto" w:fill="FFFFFF"/>
        </w:rPr>
        <w:t>broad issues that implicate antimicrobial resistance</w:t>
      </w:r>
      <w:r w:rsidR="0050399D" w:rsidRPr="00070E38">
        <w:rPr>
          <w:rFonts w:eastAsia="Times New Roman"/>
          <w:color w:val="000000" w:themeColor="text1"/>
          <w:shd w:val="clear" w:color="auto" w:fill="FFFFFF"/>
        </w:rPr>
        <w:t>, but more specific strides must be made in over-the-counter prescriptions of antibiotics and the role of pharmacists in the drug distribution system. Moving forward</w:t>
      </w:r>
      <w:r w:rsidR="00D249A8" w:rsidRPr="00070E38">
        <w:rPr>
          <w:rFonts w:eastAsia="Times New Roman"/>
          <w:color w:val="000000" w:themeColor="text1"/>
          <w:shd w:val="clear" w:color="auto" w:fill="FFFFFF"/>
        </w:rPr>
        <w:t xml:space="preserve"> two major recommendations are made to deal with these situations: decreasing self-medication by increasing community awareness of it and promoting the status of pharmacists to that of physicians to increase their involvement in the distribution of antibiotics to the citizens of India. </w:t>
      </w:r>
    </w:p>
    <w:p w14:paraId="17530E68" w14:textId="77777777" w:rsidR="007E2CC2" w:rsidRPr="00070E38" w:rsidRDefault="007E2CC2" w:rsidP="00A659D0">
      <w:pPr>
        <w:spacing w:line="480" w:lineRule="auto"/>
        <w:rPr>
          <w:b/>
          <w:u w:val="single"/>
        </w:rPr>
      </w:pPr>
      <w:r w:rsidRPr="00070E38">
        <w:rPr>
          <w:b/>
          <w:u w:val="single"/>
        </w:rPr>
        <w:t>Background:</w:t>
      </w:r>
    </w:p>
    <w:p w14:paraId="685C7BCD" w14:textId="65051CCF" w:rsidR="00F64BCB" w:rsidRPr="00070E38" w:rsidRDefault="00530EE8" w:rsidP="00A659D0">
      <w:pPr>
        <w:spacing w:line="480" w:lineRule="auto"/>
        <w:ind w:firstLine="720"/>
      </w:pPr>
      <w:r w:rsidRPr="00070E38">
        <w:t xml:space="preserve">As the Government of India is aware, </w:t>
      </w:r>
      <w:r w:rsidR="00DC0245" w:rsidRPr="00070E38">
        <w:t>India has the highest burden of infectious disease in the world</w:t>
      </w:r>
      <w:r w:rsidR="00887D01" w:rsidRPr="00070E38">
        <w:t xml:space="preserve">, due to a lack of expenditure on public health </w:t>
      </w:r>
      <w:r w:rsidR="005E25E0" w:rsidRPr="00070E38">
        <w:t>initiatives</w:t>
      </w:r>
      <w:r w:rsidR="00DC0245" w:rsidRPr="00070E38">
        <w:t xml:space="preserve"> </w:t>
      </w:r>
      <w:r w:rsidR="00887D01" w:rsidRPr="00070E38">
        <w:t xml:space="preserve">and high population density in </w:t>
      </w:r>
      <w:r w:rsidR="00887D01" w:rsidRPr="00070E38">
        <w:lastRenderedPageBreak/>
        <w:t xml:space="preserve">many </w:t>
      </w:r>
      <w:r w:rsidR="008A21B0" w:rsidRPr="00070E38">
        <w:t>areas.</w:t>
      </w:r>
      <w:r w:rsidR="009128DF" w:rsidRPr="00070E38">
        <w:rPr>
          <w:rStyle w:val="FootnoteReference"/>
        </w:rPr>
        <w:footnoteReference w:id="3"/>
      </w:r>
      <w:r w:rsidR="00DC0245" w:rsidRPr="00070E38">
        <w:t xml:space="preserve"> </w:t>
      </w:r>
      <w:r w:rsidR="00C7420C" w:rsidRPr="00070E38">
        <w:t>Consequently, in 2010 India was the largest consum</w:t>
      </w:r>
      <w:r w:rsidR="009128DF" w:rsidRPr="00070E38">
        <w:t>er of antibiotics in the world.</w:t>
      </w:r>
      <w:r w:rsidR="009128DF" w:rsidRPr="00070E38">
        <w:rPr>
          <w:rStyle w:val="FootnoteReference"/>
        </w:rPr>
        <w:footnoteReference w:id="4"/>
      </w:r>
      <w:r w:rsidR="009128DF" w:rsidRPr="00070E38">
        <w:t xml:space="preserve"> </w:t>
      </w:r>
      <w:r w:rsidR="00DC0245" w:rsidRPr="00070E38">
        <w:t>Antibiotics are</w:t>
      </w:r>
      <w:r w:rsidR="00671A66" w:rsidRPr="00070E38">
        <w:t xml:space="preserve"> typically</w:t>
      </w:r>
      <w:r w:rsidR="00DC0245" w:rsidRPr="00070E38">
        <w:t xml:space="preserve"> an effective treatment for these diseases, but</w:t>
      </w:r>
      <w:r w:rsidR="00C7420C" w:rsidRPr="00070E38">
        <w:t xml:space="preserve"> with their increasing and inappropriate use in India, antimicrobial resistance</w:t>
      </w:r>
      <w:r w:rsidR="00D00AB9" w:rsidRPr="00070E38">
        <w:t xml:space="preserve"> has become a significant problem. With </w:t>
      </w:r>
      <w:r w:rsidR="003F700B" w:rsidRPr="00070E38">
        <w:t>growing</w:t>
      </w:r>
      <w:r w:rsidR="00D00AB9" w:rsidRPr="00070E38">
        <w:t xml:space="preserve"> antimicrobial resistance, </w:t>
      </w:r>
      <w:r w:rsidR="00671A66" w:rsidRPr="00070E38">
        <w:t xml:space="preserve">common </w:t>
      </w:r>
      <w:r w:rsidR="00C7420C" w:rsidRPr="00070E38">
        <w:t xml:space="preserve">antibiotics are </w:t>
      </w:r>
      <w:r w:rsidR="00671A66" w:rsidRPr="00070E38">
        <w:t>losing their ability to treat</w:t>
      </w:r>
      <w:r w:rsidR="00D00AB9" w:rsidRPr="00070E38">
        <w:t xml:space="preserve"> </w:t>
      </w:r>
      <w:r w:rsidR="00C7420C" w:rsidRPr="00070E38">
        <w:t>infectious diseases</w:t>
      </w:r>
      <w:r w:rsidR="00887D01" w:rsidRPr="00070E38">
        <w:t xml:space="preserve">, </w:t>
      </w:r>
      <w:r w:rsidR="00D00AB9" w:rsidRPr="00070E38">
        <w:t xml:space="preserve">so drugs at the country’s disposal are becoming useless. </w:t>
      </w:r>
      <w:r w:rsidR="005E25E0" w:rsidRPr="00070E38">
        <w:t xml:space="preserve">The major implications of this issue involve the distribution and prescription of the drugs in hospital, clinical, and pharmacy </w:t>
      </w:r>
      <w:r w:rsidR="009128DF" w:rsidRPr="00070E38">
        <w:t>settings.</w:t>
      </w:r>
      <w:r w:rsidR="009128DF" w:rsidRPr="00070E38">
        <w:rPr>
          <w:rStyle w:val="FootnoteReference"/>
        </w:rPr>
        <w:footnoteReference w:id="5"/>
      </w:r>
      <w:r w:rsidR="009128DF" w:rsidRPr="00070E38">
        <w:t xml:space="preserve"> </w:t>
      </w:r>
      <w:r w:rsidR="005E25E0" w:rsidRPr="00070E38">
        <w:t xml:space="preserve">Specifically, antibiotics are frequently prescribed in incorrect doses, duration, frequencies, for the wrong diseases, and without regard to possible interactions that may occur with other </w:t>
      </w:r>
      <w:r w:rsidR="004F4DC8" w:rsidRPr="00070E38">
        <w:t>drugs</w:t>
      </w:r>
      <w:r w:rsidR="005E25E0" w:rsidRPr="00070E38">
        <w:t>. A common example of this is the prescription of antibiotics for common cold and diarrheal diseases in which they are ineffective and inappropriate</w:t>
      </w:r>
      <w:r w:rsidR="005D43ED" w:rsidRPr="00070E38">
        <w:t>.</w:t>
      </w:r>
      <w:r w:rsidR="005D43ED" w:rsidRPr="00070E38">
        <w:rPr>
          <w:rStyle w:val="FootnoteReference"/>
        </w:rPr>
        <w:footnoteReference w:id="6"/>
      </w:r>
      <w:r w:rsidR="005D43ED" w:rsidRPr="00070E38">
        <w:t xml:space="preserve"> </w:t>
      </w:r>
      <w:r w:rsidR="003F700B" w:rsidRPr="00070E38">
        <w:t xml:space="preserve">India is a country with such high instances of similar diseases that mis-prescription of antibiotics is creating major health issues for its citizens, but the Government has recently taken major interest in addressing this problem. </w:t>
      </w:r>
    </w:p>
    <w:p w14:paraId="1126B62A" w14:textId="66BFD98B" w:rsidR="00A37941" w:rsidRPr="00070E38" w:rsidRDefault="005B41AC" w:rsidP="006F2BD4">
      <w:pPr>
        <w:spacing w:line="480" w:lineRule="auto"/>
        <w:ind w:firstLine="720"/>
      </w:pPr>
      <w:r w:rsidRPr="00070E38">
        <w:t>The first major ac</w:t>
      </w:r>
      <w:r w:rsidR="006F2BD4">
        <w:t>tion by the Ministry of Health and</w:t>
      </w:r>
      <w:r w:rsidRPr="00070E38">
        <w:t xml:space="preserve"> Family Welfare on antimicrobial resistance in India, was the National Policy for Co</w:t>
      </w:r>
      <w:r w:rsidR="006F2BD4">
        <w:t>ntainment</w:t>
      </w:r>
      <w:r w:rsidRPr="00070E38">
        <w:t xml:space="preserve"> of Antimicrobial Resistance</w:t>
      </w:r>
      <w:r w:rsidR="005D43ED" w:rsidRPr="00070E38">
        <w:t xml:space="preserve"> set in 2011.</w:t>
      </w:r>
      <w:r w:rsidR="005D43ED" w:rsidRPr="00070E38">
        <w:rPr>
          <w:rStyle w:val="FootnoteReference"/>
        </w:rPr>
        <w:footnoteReference w:id="7"/>
      </w:r>
      <w:r w:rsidR="005D43ED" w:rsidRPr="00070E38">
        <w:t xml:space="preserve"> </w:t>
      </w:r>
      <w:r w:rsidR="00F70545" w:rsidRPr="00070E38">
        <w:t>However, the program was put on a</w:t>
      </w:r>
      <w:r w:rsidR="00D328E8" w:rsidRPr="00070E38">
        <w:t>n</w:t>
      </w:r>
      <w:r w:rsidR="00F70545" w:rsidRPr="00070E38">
        <w:t xml:space="preserve"> indefinite hold when the over-ambitious goals could </w:t>
      </w:r>
      <w:r w:rsidR="00F70545" w:rsidRPr="00070E38">
        <w:lastRenderedPageBreak/>
        <w:t>not be realized as they were broad and difficult to tackle</w:t>
      </w:r>
      <w:r w:rsidR="003E0D99" w:rsidRPr="00070E38">
        <w:t>.</w:t>
      </w:r>
      <w:r w:rsidR="003E0D99" w:rsidRPr="00070E38">
        <w:rPr>
          <w:rStyle w:val="FootnoteReference"/>
        </w:rPr>
        <w:footnoteReference w:id="8"/>
      </w:r>
      <w:r w:rsidR="003D5BFF" w:rsidRPr="00070E38">
        <w:t xml:space="preserve"> </w:t>
      </w:r>
      <w:r w:rsidR="00D328E8" w:rsidRPr="00070E38">
        <w:t>Such goals included</w:t>
      </w:r>
      <w:r w:rsidR="003D6D68" w:rsidRPr="00070E38">
        <w:t>:</w:t>
      </w:r>
      <w:r w:rsidR="00D328E8" w:rsidRPr="00070E38">
        <w:t xml:space="preserve"> </w:t>
      </w:r>
      <w:r w:rsidR="003D6D68" w:rsidRPr="00070E38">
        <w:t>gathering data on antibiotic use in the country at that time, creating a surveillance system for resistance as well as a monitoring system for drug prescription, enforcing regulations in veterinary and industrial use of antibiotics, and implementing interventions on using antibiotics appropriately</w:t>
      </w:r>
      <w:r w:rsidR="003D5BFF" w:rsidRPr="00070E38">
        <w:t xml:space="preserve"> in health settings.</w:t>
      </w:r>
      <w:r w:rsidR="003D5BFF" w:rsidRPr="00070E38">
        <w:rPr>
          <w:rStyle w:val="FootnoteReference"/>
        </w:rPr>
        <w:footnoteReference w:id="9"/>
      </w:r>
      <w:r w:rsidR="003D5BFF" w:rsidRPr="00070E38">
        <w:t xml:space="preserve"> </w:t>
      </w:r>
      <w:r w:rsidR="003D6D68" w:rsidRPr="00070E38">
        <w:t xml:space="preserve">Following the downfall of this program, </w:t>
      </w:r>
      <w:r w:rsidR="00A37941" w:rsidRPr="00070E38">
        <w:t>the Government of India worked with Indian medical societies to establish the Chenn</w:t>
      </w:r>
      <w:r w:rsidR="003D6D68" w:rsidRPr="00070E38">
        <w:t xml:space="preserve">ai Declaration. Put in place in late </w:t>
      </w:r>
      <w:r w:rsidR="00A37941" w:rsidRPr="00070E38">
        <w:t xml:space="preserve">2012, </w:t>
      </w:r>
      <w:r w:rsidR="003D6D68" w:rsidRPr="00070E38">
        <w:t xml:space="preserve">this was </w:t>
      </w:r>
      <w:r w:rsidR="000F344A" w:rsidRPr="00070E38">
        <w:t>a roadmap set out to establish antimicrobial stewardship in India</w:t>
      </w:r>
      <w:r w:rsidR="003F700B" w:rsidRPr="00070E38">
        <w:t xml:space="preserve"> by regulating over-the-counter prescription of antibiotics</w:t>
      </w:r>
      <w:r w:rsidR="000F344A" w:rsidRPr="00070E38">
        <w:t xml:space="preserve">. However, the diversity of the health care system across India has made it increasingly hard to uniformly implement </w:t>
      </w:r>
      <w:r w:rsidR="0057014B" w:rsidRPr="00070E38">
        <w:t>its major initiatives</w:t>
      </w:r>
      <w:r w:rsidR="003F700B" w:rsidRPr="00070E38">
        <w:t>, as the quality and commitment of drug dispensaries across the country vary greatly</w:t>
      </w:r>
      <w:r w:rsidR="002D534C" w:rsidRPr="00070E38">
        <w:t>.</w:t>
      </w:r>
      <w:r w:rsidR="002D534C" w:rsidRPr="00070E38">
        <w:rPr>
          <w:rStyle w:val="FootnoteReference"/>
        </w:rPr>
        <w:footnoteReference w:id="10"/>
      </w:r>
      <w:r w:rsidR="002D534C" w:rsidRPr="00070E38">
        <w:t xml:space="preserve"> </w:t>
      </w:r>
      <w:r w:rsidR="0057014B" w:rsidRPr="00070E38">
        <w:t>Nonetheless, it should not be ignored that this declaration sparked a major increase in awareness and concern</w:t>
      </w:r>
      <w:r w:rsidR="003F700B" w:rsidRPr="00070E38">
        <w:t xml:space="preserve"> amongst</w:t>
      </w:r>
      <w:r w:rsidR="0057014B" w:rsidRPr="00070E38">
        <w:t xml:space="preserve"> Indian medical societies and programs</w:t>
      </w:r>
      <w:r w:rsidR="003F700B" w:rsidRPr="00070E38">
        <w:t xml:space="preserve"> on the issue of antimicrobial resistance</w:t>
      </w:r>
      <w:r w:rsidR="00BF2055" w:rsidRPr="00070E38">
        <w:t>.</w:t>
      </w:r>
    </w:p>
    <w:p w14:paraId="04EE83F1" w14:textId="6BDD9BBA" w:rsidR="0019292E" w:rsidRPr="00070E38" w:rsidRDefault="0019292E" w:rsidP="00A659D0">
      <w:pPr>
        <w:spacing w:line="480" w:lineRule="auto"/>
        <w:ind w:firstLine="720"/>
      </w:pPr>
      <w:r w:rsidRPr="00070E38">
        <w:t xml:space="preserve">The Ministry of Health and Family Welfare has past experience working with the World Health Organization </w:t>
      </w:r>
      <w:r w:rsidR="002D3116" w:rsidRPr="00070E38">
        <w:t xml:space="preserve">and contributes to the Global Action Plan on Antimicrobial Resistance (GAP-AMR) that is currently underway across the globe. The focus of the GAP-AMR is to improve awareness of antimicrobial resistance, improve surveillance and research, reduce incidence of infection, use antimicrobials appropriately in animal and food sectors, and create </w:t>
      </w:r>
      <w:r w:rsidR="002D3116" w:rsidRPr="00070E38">
        <w:lastRenderedPageBreak/>
        <w:t>sustainable economic conditions in all countries to</w:t>
      </w:r>
      <w:r w:rsidR="002D534C" w:rsidRPr="00070E38">
        <w:t xml:space="preserve"> deal with this problem.</w:t>
      </w:r>
      <w:r w:rsidR="002D534C" w:rsidRPr="00070E38">
        <w:rPr>
          <w:rStyle w:val="FootnoteReference"/>
        </w:rPr>
        <w:footnoteReference w:id="11"/>
      </w:r>
      <w:r w:rsidR="002D534C" w:rsidRPr="00070E38">
        <w:t xml:space="preserve"> </w:t>
      </w:r>
      <w:r w:rsidR="00D349E7" w:rsidRPr="00070E38">
        <w:t>An additionally ongoing program is the National Acti</w:t>
      </w:r>
      <w:r w:rsidR="00127A3E" w:rsidRPr="00070E38">
        <w:t>o</w:t>
      </w:r>
      <w:r w:rsidR="006F2BD4">
        <w:t>n P</w:t>
      </w:r>
      <w:r w:rsidR="00D349E7" w:rsidRPr="00070E38">
        <w:t>lan on Ant</w:t>
      </w:r>
      <w:r w:rsidR="00127A3E" w:rsidRPr="00070E38">
        <w:t>imicrobial Resistance in effect</w:t>
      </w:r>
      <w:r w:rsidR="00D349E7" w:rsidRPr="00070E38">
        <w:t xml:space="preserve"> from 2017-2021 with the same goals as the GAP-AMR with an additional intention to strengthen India’s own leadership and autonomy in dealing with their own antimicrobial resistance problem at the n</w:t>
      </w:r>
      <w:r w:rsidR="00EC6764" w:rsidRPr="00070E38">
        <w:t>ational, state, and local level.</w:t>
      </w:r>
      <w:r w:rsidR="00EC6764" w:rsidRPr="00070E38">
        <w:rPr>
          <w:rStyle w:val="FootnoteReference"/>
        </w:rPr>
        <w:footnoteReference w:id="12"/>
      </w:r>
      <w:r w:rsidR="00EC6764" w:rsidRPr="00070E38">
        <w:t xml:space="preserve"> </w:t>
      </w:r>
      <w:r w:rsidR="0040167E" w:rsidRPr="00070E38">
        <w:t>Although it is too early to see this plan actualized, there are good intentions by the Indian Government.</w:t>
      </w:r>
    </w:p>
    <w:p w14:paraId="14B2293F" w14:textId="77777777" w:rsidR="007E2CC2" w:rsidRPr="00070E38" w:rsidRDefault="007E2CC2" w:rsidP="00A659D0">
      <w:pPr>
        <w:spacing w:line="480" w:lineRule="auto"/>
        <w:rPr>
          <w:b/>
          <w:u w:val="single"/>
        </w:rPr>
      </w:pPr>
      <w:r w:rsidRPr="00070E38">
        <w:rPr>
          <w:b/>
          <w:u w:val="single"/>
        </w:rPr>
        <w:t>Analysis:</w:t>
      </w:r>
    </w:p>
    <w:p w14:paraId="1B37E9C4" w14:textId="21F5EE6B" w:rsidR="002E324A" w:rsidRPr="00070E38" w:rsidRDefault="003F700B" w:rsidP="00A659D0">
      <w:pPr>
        <w:pStyle w:val="NormalWeb"/>
        <w:spacing w:before="0" w:beforeAutospacing="0" w:after="0" w:afterAutospacing="0" w:line="480" w:lineRule="auto"/>
        <w:ind w:firstLine="720"/>
      </w:pPr>
      <w:r w:rsidRPr="00070E38">
        <w:t xml:space="preserve">A major cause of this issue </w:t>
      </w:r>
      <w:r w:rsidR="0040167E" w:rsidRPr="00070E38">
        <w:t>is that</w:t>
      </w:r>
      <w:r w:rsidRPr="00070E38">
        <w:t xml:space="preserve"> many antibiotics are </w:t>
      </w:r>
      <w:r w:rsidR="0044727A" w:rsidRPr="00070E38">
        <w:t xml:space="preserve">still </w:t>
      </w:r>
      <w:r w:rsidRPr="00070E38">
        <w:t xml:space="preserve">attainable </w:t>
      </w:r>
      <w:r w:rsidR="00F73C60" w:rsidRPr="00070E38">
        <w:t xml:space="preserve">as over-the-counter </w:t>
      </w:r>
      <w:r w:rsidRPr="00070E38">
        <w:t xml:space="preserve">drugs. </w:t>
      </w:r>
      <w:r w:rsidR="00486897" w:rsidRPr="00070E38">
        <w:t xml:space="preserve">The current justification for </w:t>
      </w:r>
      <w:r w:rsidR="000201A9" w:rsidRPr="00070E38">
        <w:t>non-prescription drug use is to</w:t>
      </w:r>
      <w:r w:rsidRPr="00070E38">
        <w:t xml:space="preserve"> </w:t>
      </w:r>
      <w:r w:rsidR="000201A9" w:rsidRPr="00070E38">
        <w:t>allow</w:t>
      </w:r>
      <w:r w:rsidRPr="00070E38">
        <w:t xml:space="preserve"> those who cannot receive medical attention</w:t>
      </w:r>
      <w:r w:rsidR="000201A9" w:rsidRPr="00070E38">
        <w:t xml:space="preserve"> to still utilize medications</w:t>
      </w:r>
      <w:r w:rsidRPr="00070E38">
        <w:t>,</w:t>
      </w:r>
      <w:r w:rsidR="000201A9" w:rsidRPr="00070E38">
        <w:t xml:space="preserve"> however,</w:t>
      </w:r>
      <w:r w:rsidRPr="00070E38">
        <w:t xml:space="preserve"> this has ultimately led to widespread use in all soc</w:t>
      </w:r>
      <w:r w:rsidR="00EC6764" w:rsidRPr="00070E38">
        <w:t>ioeconomic populations in India.</w:t>
      </w:r>
      <w:r w:rsidR="00EC6764" w:rsidRPr="00070E38">
        <w:rPr>
          <w:rStyle w:val="FootnoteReference"/>
        </w:rPr>
        <w:footnoteReference w:id="13"/>
      </w:r>
      <w:r w:rsidR="00EC6764" w:rsidRPr="00070E38">
        <w:t xml:space="preserve"> </w:t>
      </w:r>
      <w:r w:rsidR="00F73C60" w:rsidRPr="00070E38">
        <w:t>A study in Bangalore, India</w:t>
      </w:r>
      <w:r w:rsidR="0044727A" w:rsidRPr="00070E38">
        <w:t xml:space="preserve"> found that </w:t>
      </w:r>
      <w:r w:rsidR="00F73C60" w:rsidRPr="00070E38">
        <w:t xml:space="preserve">in </w:t>
      </w:r>
      <w:r w:rsidR="0044727A" w:rsidRPr="00070E38">
        <w:t>two-thirds of the pharmacies they observed</w:t>
      </w:r>
      <w:r w:rsidR="00F73C60" w:rsidRPr="00070E38">
        <w:t xml:space="preserve"> within inner city areas,</w:t>
      </w:r>
      <w:r w:rsidR="0044727A" w:rsidRPr="00070E38">
        <w:t xml:space="preserve"> non-prescription antibiotic distribution</w:t>
      </w:r>
      <w:r w:rsidR="00F73C60" w:rsidRPr="00070E38">
        <w:t xml:space="preserve"> occurred which ultimately increases</w:t>
      </w:r>
      <w:r w:rsidR="0044727A" w:rsidRPr="00070E38">
        <w:t xml:space="preserve"> resi</w:t>
      </w:r>
      <w:r w:rsidR="00D047D0" w:rsidRPr="00070E38">
        <w:t>stance and costs of health care.</w:t>
      </w:r>
      <w:r w:rsidR="00D047D0" w:rsidRPr="00070E38">
        <w:rPr>
          <w:rStyle w:val="FootnoteReference"/>
        </w:rPr>
        <w:footnoteReference w:id="14"/>
      </w:r>
      <w:r w:rsidR="00D047D0" w:rsidRPr="00070E38">
        <w:t xml:space="preserve"> </w:t>
      </w:r>
      <w:r w:rsidR="00F73C60" w:rsidRPr="00070E38">
        <w:t xml:space="preserve">So the current rationalization of non-prescriptions antibiotics pertaining only to poor, rural areas is untrue and it is occurring throughout the country. </w:t>
      </w:r>
    </w:p>
    <w:p w14:paraId="5BD311C5" w14:textId="2E02F94E" w:rsidR="000201A9" w:rsidRPr="00070E38" w:rsidRDefault="0044727A" w:rsidP="00A659D0">
      <w:pPr>
        <w:pStyle w:val="NormalWeb"/>
        <w:spacing w:before="0" w:beforeAutospacing="0" w:after="0" w:afterAutospacing="0" w:line="480" w:lineRule="auto"/>
        <w:ind w:firstLine="720"/>
      </w:pPr>
      <w:r w:rsidRPr="00070E38">
        <w:t xml:space="preserve"> </w:t>
      </w:r>
      <w:r w:rsidR="003F700B" w:rsidRPr="00070E38">
        <w:t>As an original intention of the Chennai Declaration previously</w:t>
      </w:r>
      <w:r w:rsidR="0040167E" w:rsidRPr="00070E38">
        <w:t xml:space="preserve"> mentioned;</w:t>
      </w:r>
      <w:r w:rsidR="003F700B" w:rsidRPr="00070E38">
        <w:t xml:space="preserve"> in March 2014, the Central Drugs Standard Control Organization (CDSCO) increased antibiotics to a stricter distribution schedule from H to H1. Now, a prescription by a registered medical practitioner is needed, the packaging contains warning labels,</w:t>
      </w:r>
      <w:r w:rsidR="00AD3E22" w:rsidRPr="00070E38">
        <w:t xml:space="preserve"> and pharmacists are</w:t>
      </w:r>
      <w:r w:rsidR="003F700B" w:rsidRPr="00070E38">
        <w:t xml:space="preserve"> required to </w:t>
      </w:r>
      <w:r w:rsidR="003F700B" w:rsidRPr="00070E38">
        <w:lastRenderedPageBreak/>
        <w:t>register details of the drug distribution including who, by what medical professional, and how much of the drug was given, w</w:t>
      </w:r>
      <w:r w:rsidR="00EC6764" w:rsidRPr="00070E38">
        <w:t>hich were not previously common.</w:t>
      </w:r>
      <w:r w:rsidR="00EC6764" w:rsidRPr="00070E38">
        <w:rPr>
          <w:rStyle w:val="FootnoteReference"/>
        </w:rPr>
        <w:footnoteReference w:id="15"/>
      </w:r>
      <w:r w:rsidR="00EC6764" w:rsidRPr="00070E38">
        <w:t xml:space="preserve"> </w:t>
      </w:r>
      <w:r w:rsidR="003F700B" w:rsidRPr="00070E38">
        <w:t>However, only 213 pharmacies have adopted this and it only includes 24 antibiotics at this point, excluding several common antibiotics</w:t>
      </w:r>
      <w:r w:rsidR="0040167E" w:rsidRPr="00070E38">
        <w:t xml:space="preserve"> that are first-line drugs</w:t>
      </w:r>
      <w:r w:rsidR="00EC6764" w:rsidRPr="00070E38">
        <w:t>.</w:t>
      </w:r>
      <w:r w:rsidR="00EC6764" w:rsidRPr="00070E38">
        <w:rPr>
          <w:rStyle w:val="FootnoteReference"/>
        </w:rPr>
        <w:footnoteReference w:id="16"/>
      </w:r>
      <w:r w:rsidR="00EC6764" w:rsidRPr="00070E38">
        <w:t xml:space="preserve"> </w:t>
      </w:r>
      <w:r w:rsidR="000201A9" w:rsidRPr="00070E38">
        <w:t>In terms of antimicrobial resistance, a current concern is that antibiotic distribution must be controlled but still made accessible to the people who actually need them as it was found that lack of access to effective and affordable antibiotics still kills more children in India than does drug resistance</w:t>
      </w:r>
      <w:r w:rsidR="00EC6764" w:rsidRPr="00070E38">
        <w:t>.</w:t>
      </w:r>
      <w:r w:rsidR="00EC6764" w:rsidRPr="00070E38">
        <w:rPr>
          <w:rStyle w:val="FootnoteReference"/>
        </w:rPr>
        <w:footnoteReference w:id="17"/>
      </w:r>
      <w:r w:rsidR="001A096D" w:rsidRPr="00070E38">
        <w:t xml:space="preserve"> </w:t>
      </w:r>
    </w:p>
    <w:p w14:paraId="60421CE5" w14:textId="7F4CD807" w:rsidR="0050399D" w:rsidRPr="00070E38" w:rsidRDefault="00127A3E" w:rsidP="00A659D0">
      <w:pPr>
        <w:spacing w:line="480" w:lineRule="auto"/>
        <w:ind w:firstLine="720"/>
      </w:pPr>
      <w:r w:rsidRPr="00070E38">
        <w:t xml:space="preserve">Although the Government of India is making </w:t>
      </w:r>
      <w:r w:rsidR="00931A4D" w:rsidRPr="00070E38">
        <w:t xml:space="preserve">major </w:t>
      </w:r>
      <w:r w:rsidRPr="00070E38">
        <w:t xml:space="preserve">strides with its current initiatives such as GAP-AMR and </w:t>
      </w:r>
      <w:r w:rsidR="00931A4D" w:rsidRPr="00070E38">
        <w:t>National Action plan on Antimicrobial Resistance, anticipated issues pertain to the pharmacists and community pharmacies that disseminate drugs. Neither are directly addressed in these programs, as they focus more on broad-scale issues which ar</w:t>
      </w:r>
      <w:r w:rsidR="006A69B6" w:rsidRPr="00070E38">
        <w:t>e also very important. T</w:t>
      </w:r>
      <w:r w:rsidR="00931A4D" w:rsidRPr="00070E38">
        <w:t xml:space="preserve">he current structure of </w:t>
      </w:r>
      <w:r w:rsidR="00DF3794" w:rsidRPr="00070E38">
        <w:t>drug distribution</w:t>
      </w:r>
      <w:r w:rsidR="00931A4D" w:rsidRPr="00070E38">
        <w:t xml:space="preserve"> in India </w:t>
      </w:r>
      <w:r w:rsidR="00DF3794" w:rsidRPr="00070E38">
        <w:t>is titled</w:t>
      </w:r>
      <w:r w:rsidR="00931A4D" w:rsidRPr="00070E38">
        <w:t xml:space="preserve"> community </w:t>
      </w:r>
      <w:r w:rsidR="00DF3794" w:rsidRPr="00070E38">
        <w:t>pharmacy</w:t>
      </w:r>
      <w:r w:rsidR="00931A4D" w:rsidRPr="00070E38">
        <w:t xml:space="preserve"> and include</w:t>
      </w:r>
      <w:r w:rsidR="00DF3794" w:rsidRPr="00070E38">
        <w:t>s:</w:t>
      </w:r>
      <w:r w:rsidR="00931A4D" w:rsidRPr="00070E38">
        <w:t xml:space="preserve"> </w:t>
      </w:r>
      <w:r w:rsidR="00DF3794" w:rsidRPr="00070E38">
        <w:t>legally acknowledged drug stores (without a working registered pharmacist), chemists and druggists (with a registered pharmacist that distributes ready-made drugs), and pharmacies (have a registered pharmacist working that can give prescriptions</w:t>
      </w:r>
      <w:r w:rsidR="00B4717F" w:rsidRPr="00070E38">
        <w:t>).</w:t>
      </w:r>
      <w:r w:rsidR="00B4717F" w:rsidRPr="00070E38">
        <w:rPr>
          <w:rStyle w:val="FootnoteReference"/>
        </w:rPr>
        <w:footnoteReference w:id="18"/>
      </w:r>
      <w:r w:rsidR="00DF3794" w:rsidRPr="00070E38">
        <w:t xml:space="preserve"> Many community pharmacies are owned by non-pharmacists and pharmacists hired are not available much of the time resulting in lack of pharmacist over-sight when selling drugs.</w:t>
      </w:r>
    </w:p>
    <w:p w14:paraId="013E0C20" w14:textId="33FE2FF5" w:rsidR="00127A3E" w:rsidRPr="00070E38" w:rsidRDefault="00DF3794" w:rsidP="00A659D0">
      <w:pPr>
        <w:spacing w:line="480" w:lineRule="auto"/>
        <w:ind w:firstLine="720"/>
        <w:rPr>
          <w:rFonts w:eastAsia="Times New Roman"/>
        </w:rPr>
      </w:pPr>
      <w:r w:rsidRPr="00070E38">
        <w:t xml:space="preserve"> </w:t>
      </w:r>
      <w:r w:rsidR="006A69B6" w:rsidRPr="00070E38">
        <w:t xml:space="preserve">The general history of pharmacists in India has been one in which they are often not taken seriously. </w:t>
      </w:r>
      <w:r w:rsidR="007C6DB5" w:rsidRPr="00070E38">
        <w:rPr>
          <w:rFonts w:eastAsia="Times New Roman"/>
          <w:color w:val="000000"/>
          <w:shd w:val="clear" w:color="auto" w:fill="FFFFFF"/>
        </w:rPr>
        <w:t>In the recently accepted union government’s sixth pay commission report, pharmacists have been placed in the lowest band and</w:t>
      </w:r>
      <w:r w:rsidR="00B4717F" w:rsidRPr="00070E38">
        <w:rPr>
          <w:rFonts w:eastAsia="Times New Roman"/>
          <w:color w:val="000000"/>
          <w:shd w:val="clear" w:color="auto" w:fill="FFFFFF"/>
        </w:rPr>
        <w:t xml:space="preserve"> structure along with other non-</w:t>
      </w:r>
      <w:r w:rsidR="007C6DB5" w:rsidRPr="00070E38">
        <w:rPr>
          <w:rFonts w:eastAsia="Times New Roman"/>
          <w:color w:val="000000"/>
          <w:shd w:val="clear" w:color="auto" w:fill="FFFFFF"/>
        </w:rPr>
        <w:t xml:space="preserve">technical </w:t>
      </w:r>
      <w:r w:rsidR="007C6DB5" w:rsidRPr="00070E38">
        <w:rPr>
          <w:rFonts w:eastAsia="Times New Roman"/>
          <w:color w:val="000000"/>
          <w:shd w:val="clear" w:color="auto" w:fill="FFFFFF"/>
        </w:rPr>
        <w:lastRenderedPageBreak/>
        <w:t>persons</w:t>
      </w:r>
      <w:r w:rsidR="00B4717F" w:rsidRPr="00070E38">
        <w:rPr>
          <w:rFonts w:eastAsia="Times New Roman"/>
          <w:color w:val="000000"/>
          <w:shd w:val="clear" w:color="auto" w:fill="FFFFFF"/>
        </w:rPr>
        <w:t>.</w:t>
      </w:r>
      <w:r w:rsidR="00B4717F" w:rsidRPr="00070E38">
        <w:rPr>
          <w:rStyle w:val="FootnoteReference"/>
          <w:rFonts w:eastAsia="Times New Roman"/>
          <w:color w:val="000000"/>
          <w:shd w:val="clear" w:color="auto" w:fill="FFFFFF"/>
        </w:rPr>
        <w:footnoteReference w:id="19"/>
      </w:r>
      <w:r w:rsidR="00B4717F" w:rsidRPr="00070E38">
        <w:rPr>
          <w:rFonts w:eastAsia="Times New Roman"/>
          <w:color w:val="000000"/>
          <w:shd w:val="clear" w:color="auto" w:fill="FFFFFF"/>
        </w:rPr>
        <w:t xml:space="preserve"> </w:t>
      </w:r>
      <w:r w:rsidR="006A69B6" w:rsidRPr="00070E38">
        <w:t>A</w:t>
      </w:r>
      <w:r w:rsidR="007C6DB5" w:rsidRPr="00070E38">
        <w:t>dditionally, a</w:t>
      </w:r>
      <w:r w:rsidR="006A69B6" w:rsidRPr="00070E38">
        <w:t xml:space="preserve"> </w:t>
      </w:r>
      <w:r w:rsidR="007C6DB5" w:rsidRPr="00070E38">
        <w:t>g</w:t>
      </w:r>
      <w:r w:rsidR="006A69B6" w:rsidRPr="00070E38">
        <w:t>overnment committee declared in 2002 that pharmacists were not necessary for drug distribution and sales</w:t>
      </w:r>
      <w:r w:rsidR="00B4717F" w:rsidRPr="00070E38">
        <w:t xml:space="preserve">, </w:t>
      </w:r>
      <w:r w:rsidR="006A69B6" w:rsidRPr="00070E38">
        <w:t>so this contributed to a downplay o</w:t>
      </w:r>
      <w:r w:rsidR="00CC0AFF" w:rsidRPr="00070E38">
        <w:t>f</w:t>
      </w:r>
      <w:r w:rsidR="006A69B6" w:rsidRPr="00070E38">
        <w:t xml:space="preserve"> the profession, which is hurting the country today as pharmacists are an integral part of addressing antimicrobial resistance.</w:t>
      </w:r>
      <w:r w:rsidR="00B4717F" w:rsidRPr="00070E38">
        <w:rPr>
          <w:rStyle w:val="FootnoteReference"/>
        </w:rPr>
        <w:footnoteReference w:id="20"/>
      </w:r>
      <w:r w:rsidR="001A096D" w:rsidRPr="00070E38">
        <w:t xml:space="preserve"> With this in mind, this community pharmacy and pharmacist has potential to interact with the community in a more effective way.</w:t>
      </w:r>
    </w:p>
    <w:p w14:paraId="6C6137AC" w14:textId="22DBD72A" w:rsidR="003527A4" w:rsidRPr="00070E38" w:rsidRDefault="007E2CC2" w:rsidP="00A659D0">
      <w:pPr>
        <w:spacing w:line="480" w:lineRule="auto"/>
        <w:rPr>
          <w:b/>
          <w:u w:val="single"/>
        </w:rPr>
      </w:pPr>
      <w:r w:rsidRPr="00070E38">
        <w:rPr>
          <w:b/>
          <w:u w:val="single"/>
        </w:rPr>
        <w:t>Recommendations:</w:t>
      </w:r>
    </w:p>
    <w:p w14:paraId="4D2F8723" w14:textId="32BA49F5" w:rsidR="00AD3E22" w:rsidRPr="00070E38" w:rsidRDefault="0094515B" w:rsidP="00A659D0">
      <w:pPr>
        <w:spacing w:line="480" w:lineRule="auto"/>
        <w:rPr>
          <w:rFonts w:eastAsia="Times New Roman"/>
        </w:rPr>
      </w:pPr>
      <w:r w:rsidRPr="00070E38">
        <w:tab/>
      </w:r>
      <w:r w:rsidR="00AD3E22" w:rsidRPr="00070E38">
        <w:t xml:space="preserve">The first recommendation that is not yet being addressed in </w:t>
      </w:r>
      <w:r w:rsidR="004D0AB2" w:rsidRPr="00070E38">
        <w:t>a current governmental movement</w:t>
      </w:r>
      <w:r w:rsidR="00AD3E22" w:rsidRPr="00070E38">
        <w:t xml:space="preserve"> is that of limiting self-medication in India. Self-medication is defined as</w:t>
      </w:r>
      <w:r w:rsidR="004738EE" w:rsidRPr="00070E38">
        <w:t xml:space="preserve"> an action to “</w:t>
      </w:r>
      <w:r w:rsidR="00AD3E22" w:rsidRPr="00070E38">
        <w:rPr>
          <w:rFonts w:eastAsia="Times New Roman"/>
          <w:color w:val="000000"/>
          <w:shd w:val="clear" w:color="auto" w:fill="FFFFFF"/>
        </w:rPr>
        <w:t>treat self-diagnosed disorders without consulting a medical practitioner and without any medical supervision</w:t>
      </w:r>
      <w:r w:rsidR="008C537E" w:rsidRPr="00070E38">
        <w:rPr>
          <w:rFonts w:eastAsia="Times New Roman"/>
          <w:color w:val="000000"/>
          <w:shd w:val="clear" w:color="auto" w:fill="FFFFFF"/>
        </w:rPr>
        <w:t>”.</w:t>
      </w:r>
      <w:r w:rsidR="008C537E" w:rsidRPr="00070E38">
        <w:rPr>
          <w:rStyle w:val="FootnoteReference"/>
          <w:rFonts w:eastAsia="Times New Roman"/>
          <w:color w:val="000000"/>
          <w:shd w:val="clear" w:color="auto" w:fill="FFFFFF"/>
        </w:rPr>
        <w:footnoteReference w:id="21"/>
      </w:r>
      <w:r w:rsidR="008C537E" w:rsidRPr="00070E38">
        <w:rPr>
          <w:rFonts w:eastAsia="Times New Roman"/>
          <w:color w:val="000000"/>
          <w:shd w:val="clear" w:color="auto" w:fill="FFFFFF"/>
        </w:rPr>
        <w:t xml:space="preserve"> </w:t>
      </w:r>
      <w:r w:rsidR="004738EE" w:rsidRPr="00070E38">
        <w:rPr>
          <w:rFonts w:eastAsia="Times New Roman"/>
          <w:color w:val="000000"/>
          <w:shd w:val="clear" w:color="auto" w:fill="FFFFFF"/>
        </w:rPr>
        <w:t xml:space="preserve">The majority of the drugs used to self-medicate are </w:t>
      </w:r>
      <w:r w:rsidR="00CE7844" w:rsidRPr="00070E38">
        <w:rPr>
          <w:rFonts w:eastAsia="Times New Roman"/>
          <w:color w:val="000000"/>
          <w:shd w:val="clear" w:color="auto" w:fill="FFFFFF"/>
        </w:rPr>
        <w:t>obtained</w:t>
      </w:r>
      <w:r w:rsidR="004738EE" w:rsidRPr="00070E38">
        <w:rPr>
          <w:rFonts w:eastAsia="Times New Roman"/>
          <w:color w:val="000000"/>
          <w:shd w:val="clear" w:color="auto" w:fill="FFFFFF"/>
        </w:rPr>
        <w:t xml:space="preserve"> over-the-counter. </w:t>
      </w:r>
      <w:r w:rsidR="00AD3E22" w:rsidRPr="00070E38">
        <w:t>This can be dealt with by increasing the H1 schedule requirements of the Chennai Declaration to include all pharmacists and all antibiotic</w:t>
      </w:r>
      <w:r w:rsidR="004738EE" w:rsidRPr="00070E38">
        <w:t xml:space="preserve">s. </w:t>
      </w:r>
      <w:r w:rsidR="004D0AB2" w:rsidRPr="00070E38">
        <w:t>Additionally, the</w:t>
      </w:r>
      <w:r w:rsidR="004738EE" w:rsidRPr="00070E38">
        <w:t xml:space="preserve"> Minis</w:t>
      </w:r>
      <w:r w:rsidR="006F2BD4">
        <w:t>try of Health and</w:t>
      </w:r>
      <w:r w:rsidR="004D0AB2" w:rsidRPr="00070E38">
        <w:t xml:space="preserve"> Family Welfare sh</w:t>
      </w:r>
      <w:r w:rsidR="004738EE" w:rsidRPr="00070E38">
        <w:t>ould contribute to this issue by targe</w:t>
      </w:r>
      <w:r w:rsidR="004D0AB2" w:rsidRPr="00070E38">
        <w:t>ting families and lay-people by</w:t>
      </w:r>
      <w:r w:rsidR="004738EE" w:rsidRPr="00070E38">
        <w:t xml:space="preserve"> engaging them in </w:t>
      </w:r>
      <w:r w:rsidR="004D0AB2" w:rsidRPr="00070E38">
        <w:t xml:space="preserve">comprehensive </w:t>
      </w:r>
      <w:r w:rsidR="004738EE" w:rsidRPr="00070E38">
        <w:t>educational programs that explain the harm of self-medication. Common reasons that people migrate towards self-medication are having similar experiences in the past, down-playing the seriousness of disease, saving money, misunderstanding of antibiotics, and suggestion</w:t>
      </w:r>
      <w:r w:rsidR="008C537E" w:rsidRPr="00070E38">
        <w:t>s from others.</w:t>
      </w:r>
      <w:r w:rsidR="008C537E" w:rsidRPr="00070E38">
        <w:rPr>
          <w:rStyle w:val="FootnoteReference"/>
        </w:rPr>
        <w:footnoteReference w:id="22"/>
      </w:r>
      <w:r w:rsidR="008C537E" w:rsidRPr="00070E38">
        <w:t xml:space="preserve"> </w:t>
      </w:r>
      <w:r w:rsidR="004D0AB2" w:rsidRPr="00070E38">
        <w:t xml:space="preserve">As such, an increasing awareness among the community on this health harming behavior may decrease the prevalence of self-medication. </w:t>
      </w:r>
    </w:p>
    <w:p w14:paraId="3A61C72F" w14:textId="2BE1C3B1" w:rsidR="00A47D70" w:rsidRPr="00070E38" w:rsidRDefault="0094515B" w:rsidP="00A659D0">
      <w:pPr>
        <w:pStyle w:val="NormalWeb"/>
        <w:spacing w:before="0" w:beforeAutospacing="0" w:after="0" w:afterAutospacing="0" w:line="480" w:lineRule="auto"/>
        <w:ind w:firstLine="720"/>
      </w:pPr>
      <w:r w:rsidRPr="00070E38">
        <w:lastRenderedPageBreak/>
        <w:t>As a leader in both national and international programs addressing antimicrobial resistance, the Mi</w:t>
      </w:r>
      <w:r w:rsidR="006F2BD4">
        <w:t>nistry of Health and</w:t>
      </w:r>
      <w:r w:rsidRPr="00070E38">
        <w:t xml:space="preserve"> Family Welfare will be best able to address the problems at the pharmacy-level within the country. The first recommendation to resolve this issue is that of imp</w:t>
      </w:r>
      <w:r w:rsidR="00804DF0" w:rsidRPr="00070E38">
        <w:t>roving the community-pharmacist relationship</w:t>
      </w:r>
      <w:r w:rsidRPr="00070E38">
        <w:t xml:space="preserve">. More specifically, by requiring </w:t>
      </w:r>
      <w:r w:rsidR="00804DF0" w:rsidRPr="00070E38">
        <w:t>pharmacists</w:t>
      </w:r>
      <w:r w:rsidRPr="00070E38">
        <w:t xml:space="preserve"> at all depots of drug sales, people who come in for medications will be better used to interacting with these professionals. By building relationships similar to that of physician-patient, pharmacists can be a form of support and trust. With this, pharmacists will be able to inform patients of the risks of taking antibiotics when unnecessary</w:t>
      </w:r>
      <w:r w:rsidR="00804DF0" w:rsidRPr="00070E38">
        <w:t xml:space="preserve"> and the general distribution of educational materials will be helpful. In a focus group discussion of retail pharmacists, public-sector pharmacists, and people working within pharmacist associations, “Many pharmacists believed that if a patient was aware of the importance of taking a full course, this would have significant effect on use of antibiotics”.</w:t>
      </w:r>
      <w:r w:rsidR="00CA50D6" w:rsidRPr="00070E38">
        <w:rPr>
          <w:rStyle w:val="FootnoteReference"/>
        </w:rPr>
        <w:footnoteReference w:id="23"/>
      </w:r>
      <w:r w:rsidR="00804DF0" w:rsidRPr="00070E38">
        <w:t xml:space="preserve"> A simple piece of information explained can change the minds of a medication-user. </w:t>
      </w:r>
    </w:p>
    <w:p w14:paraId="66DA3E72" w14:textId="6A324575" w:rsidR="0094515B" w:rsidRPr="00070E38" w:rsidRDefault="00804DF0" w:rsidP="00A659D0">
      <w:pPr>
        <w:pStyle w:val="NormalWeb"/>
        <w:spacing w:before="0" w:beforeAutospacing="0" w:after="0" w:afterAutospacing="0" w:line="480" w:lineRule="auto"/>
        <w:ind w:firstLine="720"/>
      </w:pPr>
      <w:r w:rsidRPr="00070E38">
        <w:t xml:space="preserve">As a part of this, the Government of India should treat pharmacists more like physicians by </w:t>
      </w:r>
      <w:r w:rsidR="00A47D70" w:rsidRPr="00070E38">
        <w:t>offering them collaboration and support. This could simply be by hosting discussions and events</w:t>
      </w:r>
      <w:r w:rsidR="00E42DD9" w:rsidRPr="00070E38">
        <w:t>,</w:t>
      </w:r>
      <w:r w:rsidR="00A47D70" w:rsidRPr="00070E38">
        <w:t xml:space="preserve"> or </w:t>
      </w:r>
      <w:r w:rsidR="00E42DD9" w:rsidRPr="00070E38">
        <w:t xml:space="preserve">it </w:t>
      </w:r>
      <w:r w:rsidR="00A47D70" w:rsidRPr="00070E38">
        <w:t>could go so far as including them in the public health sector and considering them government employees. If pharmacists are given governmental support</w:t>
      </w:r>
      <w:r w:rsidR="00E42DD9" w:rsidRPr="00070E38">
        <w:t>,</w:t>
      </w:r>
      <w:r w:rsidR="00A47D70" w:rsidRPr="00070E38">
        <w:t xml:space="preserve"> that support can recapitulate onto those seeking medications. Not only that, but community pharmacies would be better able to include pharmacists in their structure if they did not have the responsibility of paying them. A current</w:t>
      </w:r>
      <w:r w:rsidR="004A6CC7" w:rsidRPr="00070E38">
        <w:t xml:space="preserve"> issue is that of the poor pay o</w:t>
      </w:r>
      <w:r w:rsidR="00A47D70" w:rsidRPr="00070E38">
        <w:t>f pharmacists</w:t>
      </w:r>
      <w:r w:rsidR="004A6CC7" w:rsidRPr="00070E38">
        <w:t xml:space="preserve">, and this may contribute to </w:t>
      </w:r>
      <w:r w:rsidR="004A6CC7" w:rsidRPr="00070E38">
        <w:lastRenderedPageBreak/>
        <w:t xml:space="preserve">their sometimes lackadaisical approach to giving people medications without proper prescriptions from doctors, with old prescriptions, without proper instruction, and </w:t>
      </w:r>
      <w:r w:rsidR="00E42DD9" w:rsidRPr="00070E38">
        <w:t>with financial temptation from pharmaceutical</w:t>
      </w:r>
      <w:r w:rsidR="00391B98" w:rsidRPr="00070E38">
        <w:t xml:space="preserve"> companies.</w:t>
      </w:r>
      <w:r w:rsidR="00391B98" w:rsidRPr="00070E38">
        <w:rPr>
          <w:rStyle w:val="FootnoteReference"/>
        </w:rPr>
        <w:footnoteReference w:id="24"/>
      </w:r>
      <w:r w:rsidR="00391B98" w:rsidRPr="00070E38">
        <w:t xml:space="preserve"> </w:t>
      </w:r>
      <w:r w:rsidR="00A47D70" w:rsidRPr="00070E38">
        <w:t xml:space="preserve">As previously mentioned, the general attitude towards pharmacists has viewed them as less than in the Indian health care paradigm, but they are of paramount importance at current with the antimicrobial resistance issue growing steadily. </w:t>
      </w:r>
    </w:p>
    <w:p w14:paraId="1BB05A6F" w14:textId="77777777" w:rsidR="007E2CC2" w:rsidRPr="00070E38" w:rsidRDefault="007E2CC2" w:rsidP="00A659D0">
      <w:pPr>
        <w:spacing w:line="480" w:lineRule="auto"/>
        <w:rPr>
          <w:b/>
          <w:u w:val="single"/>
        </w:rPr>
      </w:pPr>
      <w:r w:rsidRPr="00070E38">
        <w:rPr>
          <w:b/>
          <w:u w:val="single"/>
        </w:rPr>
        <w:t>Conclusion:</w:t>
      </w:r>
    </w:p>
    <w:p w14:paraId="7E9B18F4" w14:textId="3797F609" w:rsidR="006F2BD4" w:rsidRDefault="006F2BD4" w:rsidP="00A659D0">
      <w:pPr>
        <w:spacing w:line="480" w:lineRule="auto"/>
      </w:pPr>
      <w:r>
        <w:tab/>
        <w:t xml:space="preserve">The Government of India has the right idea in applying programs such as the </w:t>
      </w:r>
      <w:r w:rsidRPr="00070E38">
        <w:t>Global Action Plan on Antimicrobial Resistance</w:t>
      </w:r>
      <w:r>
        <w:t xml:space="preserve"> and </w:t>
      </w:r>
      <w:r w:rsidRPr="00070E38">
        <w:t>National Actio</w:t>
      </w:r>
      <w:r>
        <w:t>n P</w:t>
      </w:r>
      <w:r w:rsidRPr="00070E38">
        <w:t>lan on Antimicrobial Resistance</w:t>
      </w:r>
      <w:r>
        <w:t xml:space="preserve"> which are currently underway to solve the antimicrobial resistance problem. However, while we are able to recognize holes in these plans, it is necessary to act now. In doing such, the Ministry of Health and Family Welfare in particular should initiate the discussed recommendations of limiting self-medication via antibiotics through community awareness and increased integration of pharmacists in the health care field. These two plans of action will not only hold community members more accountable, but will also reintroduce a major player, the pharmacist, as an influential actor in solving this issue. Collectively, these recommendations will spread awareness and action in fighting antimicrobial resistance at the community level within India. </w:t>
      </w:r>
    </w:p>
    <w:p w14:paraId="68A1B5C5" w14:textId="7CD5FADA" w:rsidR="003527A4" w:rsidRPr="00572015" w:rsidRDefault="006F2BD4" w:rsidP="00A659D0">
      <w:pPr>
        <w:spacing w:line="480" w:lineRule="auto"/>
      </w:pPr>
      <w:r>
        <w:tab/>
        <w:t xml:space="preserve"> With the leadership of a Ministry </w:t>
      </w:r>
      <w:r w:rsidR="001F3D33">
        <w:t>responsible for the health of the Indian community, these recommendations can be actualized to result in a healthier India. The first step is to make local connections between the government and community pharmacies and community programs that will invite pharmacists and community members to feel that they too can help improve the antimicrobial situation. Without action from the Ministry of Health and Family Welfare, major attention will remain on large-scale international and national agendas that skip over key stake-</w:t>
      </w:r>
      <w:r w:rsidR="001F3D33">
        <w:lastRenderedPageBreak/>
        <w:t xml:space="preserve">holders in this issue. By connecting the community to the country’s health leaders the two will be enabled to work together and acknowledge that all Indian citizens can make an impact on this current health issue. </w:t>
      </w:r>
    </w:p>
    <w:p w14:paraId="7C632D61" w14:textId="77777777" w:rsidR="00A659D0" w:rsidRPr="00070E38" w:rsidRDefault="00A659D0" w:rsidP="00A659D0">
      <w:pPr>
        <w:spacing w:line="480" w:lineRule="auto"/>
        <w:rPr>
          <w:b/>
          <w:u w:val="single"/>
        </w:rPr>
      </w:pPr>
    </w:p>
    <w:p w14:paraId="0D859D67" w14:textId="77777777" w:rsidR="00A659D0" w:rsidRPr="00070E38" w:rsidRDefault="00A659D0" w:rsidP="00A659D0">
      <w:pPr>
        <w:spacing w:line="480" w:lineRule="auto"/>
        <w:rPr>
          <w:b/>
          <w:u w:val="single"/>
        </w:rPr>
      </w:pPr>
    </w:p>
    <w:p w14:paraId="59F42200" w14:textId="77777777" w:rsidR="00A659D0" w:rsidRPr="00070E38" w:rsidRDefault="00A659D0" w:rsidP="00A659D0">
      <w:pPr>
        <w:spacing w:line="480" w:lineRule="auto"/>
        <w:rPr>
          <w:b/>
          <w:u w:val="single"/>
        </w:rPr>
      </w:pPr>
    </w:p>
    <w:p w14:paraId="05C952F0" w14:textId="77777777" w:rsidR="00A659D0" w:rsidRPr="00070E38" w:rsidRDefault="00A659D0" w:rsidP="00A659D0">
      <w:pPr>
        <w:spacing w:line="480" w:lineRule="auto"/>
        <w:rPr>
          <w:b/>
          <w:u w:val="single"/>
        </w:rPr>
      </w:pPr>
    </w:p>
    <w:p w14:paraId="2A5986AA" w14:textId="77777777" w:rsidR="00391B98" w:rsidRPr="00070E38" w:rsidRDefault="00391B98" w:rsidP="00A659D0">
      <w:pPr>
        <w:spacing w:line="480" w:lineRule="auto"/>
        <w:rPr>
          <w:b/>
          <w:u w:val="single"/>
        </w:rPr>
      </w:pPr>
    </w:p>
    <w:p w14:paraId="478FF263" w14:textId="77777777" w:rsidR="00391B98" w:rsidRPr="00070E38" w:rsidRDefault="00391B98" w:rsidP="00A659D0">
      <w:pPr>
        <w:spacing w:line="480" w:lineRule="auto"/>
        <w:rPr>
          <w:b/>
          <w:u w:val="single"/>
        </w:rPr>
      </w:pPr>
    </w:p>
    <w:p w14:paraId="78529681" w14:textId="77777777" w:rsidR="00391B98" w:rsidRPr="00070E38" w:rsidRDefault="00391B98" w:rsidP="00A659D0">
      <w:pPr>
        <w:spacing w:line="480" w:lineRule="auto"/>
        <w:rPr>
          <w:b/>
          <w:u w:val="single"/>
        </w:rPr>
      </w:pPr>
    </w:p>
    <w:p w14:paraId="1364CB34" w14:textId="77777777" w:rsidR="00391B98" w:rsidRPr="00070E38" w:rsidRDefault="00391B98" w:rsidP="00A659D0">
      <w:pPr>
        <w:spacing w:line="480" w:lineRule="auto"/>
        <w:rPr>
          <w:b/>
          <w:u w:val="single"/>
        </w:rPr>
      </w:pPr>
    </w:p>
    <w:p w14:paraId="1CD43294" w14:textId="77777777" w:rsidR="00391B98" w:rsidRPr="00070E38" w:rsidRDefault="00391B98" w:rsidP="00A659D0">
      <w:pPr>
        <w:spacing w:line="480" w:lineRule="auto"/>
        <w:rPr>
          <w:b/>
          <w:u w:val="single"/>
        </w:rPr>
      </w:pPr>
    </w:p>
    <w:p w14:paraId="13A52372" w14:textId="77777777" w:rsidR="00391B98" w:rsidRPr="00070E38" w:rsidRDefault="00391B98" w:rsidP="00A659D0">
      <w:pPr>
        <w:spacing w:line="480" w:lineRule="auto"/>
        <w:rPr>
          <w:b/>
          <w:u w:val="single"/>
        </w:rPr>
      </w:pPr>
    </w:p>
    <w:p w14:paraId="52A55BAE" w14:textId="77777777" w:rsidR="00070E38" w:rsidRPr="00070E38" w:rsidRDefault="00070E38" w:rsidP="00A659D0">
      <w:pPr>
        <w:spacing w:line="480" w:lineRule="auto"/>
        <w:rPr>
          <w:b/>
          <w:u w:val="single"/>
        </w:rPr>
      </w:pPr>
    </w:p>
    <w:p w14:paraId="2CBB12C1" w14:textId="77777777" w:rsidR="00070E38" w:rsidRPr="00070E38" w:rsidRDefault="00070E38" w:rsidP="00A659D0">
      <w:pPr>
        <w:spacing w:line="480" w:lineRule="auto"/>
        <w:rPr>
          <w:b/>
          <w:u w:val="single"/>
        </w:rPr>
      </w:pPr>
    </w:p>
    <w:p w14:paraId="1FCB4936" w14:textId="77777777" w:rsidR="00070E38" w:rsidRDefault="00070E38" w:rsidP="00A659D0">
      <w:pPr>
        <w:spacing w:line="480" w:lineRule="auto"/>
        <w:rPr>
          <w:b/>
          <w:u w:val="single"/>
        </w:rPr>
      </w:pPr>
    </w:p>
    <w:p w14:paraId="38057202" w14:textId="77777777" w:rsidR="001F3D33" w:rsidRDefault="001F3D33" w:rsidP="00A659D0">
      <w:pPr>
        <w:spacing w:line="480" w:lineRule="auto"/>
        <w:rPr>
          <w:b/>
          <w:u w:val="single"/>
        </w:rPr>
      </w:pPr>
    </w:p>
    <w:p w14:paraId="43F39776" w14:textId="77777777" w:rsidR="001F3D33" w:rsidRDefault="001F3D33" w:rsidP="00A659D0">
      <w:pPr>
        <w:spacing w:line="480" w:lineRule="auto"/>
        <w:rPr>
          <w:b/>
          <w:u w:val="single"/>
        </w:rPr>
      </w:pPr>
    </w:p>
    <w:p w14:paraId="73065072" w14:textId="77777777" w:rsidR="001F3D33" w:rsidRDefault="001F3D33" w:rsidP="00A659D0">
      <w:pPr>
        <w:spacing w:line="480" w:lineRule="auto"/>
        <w:rPr>
          <w:b/>
          <w:u w:val="single"/>
        </w:rPr>
      </w:pPr>
    </w:p>
    <w:p w14:paraId="544929A9" w14:textId="77777777" w:rsidR="001F3D33" w:rsidRDefault="001F3D33" w:rsidP="00A659D0">
      <w:pPr>
        <w:spacing w:line="480" w:lineRule="auto"/>
        <w:rPr>
          <w:b/>
          <w:u w:val="single"/>
        </w:rPr>
      </w:pPr>
    </w:p>
    <w:p w14:paraId="6DC7F1E4" w14:textId="77777777" w:rsidR="001F3D33" w:rsidRDefault="001F3D33" w:rsidP="00A659D0">
      <w:pPr>
        <w:spacing w:line="480" w:lineRule="auto"/>
        <w:rPr>
          <w:b/>
          <w:u w:val="single"/>
        </w:rPr>
      </w:pPr>
    </w:p>
    <w:p w14:paraId="2A97BC87" w14:textId="77777777" w:rsidR="001F3D33" w:rsidRPr="00070E38" w:rsidRDefault="001F3D33" w:rsidP="00A659D0">
      <w:pPr>
        <w:spacing w:line="480" w:lineRule="auto"/>
        <w:rPr>
          <w:b/>
          <w:u w:val="single"/>
        </w:rPr>
      </w:pPr>
      <w:bookmarkStart w:id="0" w:name="_GoBack"/>
      <w:bookmarkEnd w:id="0"/>
    </w:p>
    <w:p w14:paraId="1CCC4125" w14:textId="77777777" w:rsidR="00151286" w:rsidRDefault="00151286" w:rsidP="00B4717F">
      <w:pPr>
        <w:spacing w:line="360" w:lineRule="auto"/>
        <w:rPr>
          <w:b/>
          <w:u w:val="single"/>
        </w:rPr>
      </w:pPr>
    </w:p>
    <w:p w14:paraId="081AB17B" w14:textId="77777777" w:rsidR="00151286" w:rsidRPr="00070E38" w:rsidRDefault="00151286" w:rsidP="00B4717F">
      <w:pPr>
        <w:spacing w:line="360" w:lineRule="auto"/>
        <w:rPr>
          <w:b/>
        </w:rPr>
      </w:pPr>
    </w:p>
    <w:p w14:paraId="0BEE654A" w14:textId="23B6F808" w:rsidR="00151286" w:rsidRPr="00151286" w:rsidRDefault="000B0ED0" w:rsidP="00151286">
      <w:pPr>
        <w:spacing w:line="360" w:lineRule="auto"/>
        <w:jc w:val="center"/>
        <w:rPr>
          <w:b/>
        </w:rPr>
      </w:pPr>
      <w:r w:rsidRPr="00070E38">
        <w:rPr>
          <w:b/>
        </w:rPr>
        <w:lastRenderedPageBreak/>
        <w:t>References:</w:t>
      </w:r>
    </w:p>
    <w:p w14:paraId="53B08792" w14:textId="77777777" w:rsidR="00151286" w:rsidRDefault="00151286" w:rsidP="00151286">
      <w:pPr>
        <w:spacing w:line="360" w:lineRule="auto"/>
        <w:rPr>
          <w:rFonts w:eastAsia="Times New Roman"/>
          <w:i/>
          <w:iCs/>
          <w:color w:val="333333"/>
        </w:rPr>
      </w:pPr>
      <w:r w:rsidRPr="00070E38">
        <w:rPr>
          <w:rFonts w:eastAsia="Times New Roman"/>
          <w:color w:val="333333"/>
        </w:rPr>
        <w:t>Ahmad, Akram and Isha Patel. "Job Satisfaction among Indian Pharmacists."</w:t>
      </w:r>
      <w:r w:rsidRPr="00070E38">
        <w:rPr>
          <w:rStyle w:val="apple-converted-space"/>
          <w:rFonts w:eastAsia="Times New Roman"/>
          <w:color w:val="333333"/>
        </w:rPr>
        <w:t> </w:t>
      </w:r>
      <w:r w:rsidRPr="00070E38">
        <w:rPr>
          <w:rFonts w:eastAsia="Times New Roman"/>
          <w:i/>
          <w:iCs/>
          <w:color w:val="333333"/>
        </w:rPr>
        <w:t xml:space="preserve">Journal of </w:t>
      </w:r>
    </w:p>
    <w:p w14:paraId="364DD504" w14:textId="77777777" w:rsidR="00151286" w:rsidRDefault="00151286" w:rsidP="00151286">
      <w:pPr>
        <w:spacing w:line="360" w:lineRule="auto"/>
        <w:ind w:left="720"/>
        <w:rPr>
          <w:rFonts w:eastAsia="Times New Roman"/>
          <w:color w:val="333333"/>
        </w:rPr>
      </w:pPr>
      <w:r w:rsidRPr="00070E38">
        <w:rPr>
          <w:rFonts w:eastAsia="Times New Roman"/>
          <w:i/>
          <w:iCs/>
          <w:color w:val="333333"/>
        </w:rPr>
        <w:t>Pharmacy &amp; Bioallied Sciences</w:t>
      </w:r>
      <w:r w:rsidRPr="00070E38">
        <w:rPr>
          <w:rStyle w:val="apple-converted-space"/>
          <w:rFonts w:eastAsia="Times New Roman"/>
          <w:color w:val="333333"/>
        </w:rPr>
        <w:t> </w:t>
      </w:r>
      <w:r w:rsidRPr="00070E38">
        <w:rPr>
          <w:rFonts w:eastAsia="Times New Roman"/>
          <w:color w:val="333333"/>
        </w:rPr>
        <w:t xml:space="preserve">5, no. 4 (October, 2013): doi: </w:t>
      </w:r>
      <w:hyperlink r:id="rId8" w:tgtFrame="_blank" w:history="1">
        <w:r w:rsidRPr="00070E38">
          <w:rPr>
            <w:rStyle w:val="Hyperlink"/>
            <w:rFonts w:eastAsia="Times New Roman"/>
            <w:color w:val="00478E"/>
          </w:rPr>
          <w:t>10.4103/0975-7406.120069</w:t>
        </w:r>
      </w:hyperlink>
      <w:r w:rsidRPr="00070E38">
        <w:rPr>
          <w:rFonts w:eastAsia="Times New Roman"/>
        </w:rPr>
        <w:t xml:space="preserve">. </w:t>
      </w:r>
      <w:r w:rsidRPr="00070E38">
        <w:rPr>
          <w:rFonts w:eastAsia="Times New Roman"/>
          <w:color w:val="333333"/>
        </w:rPr>
        <w:t>(accessed December 4, 2018): 326.</w:t>
      </w:r>
    </w:p>
    <w:p w14:paraId="29E47B47" w14:textId="77777777" w:rsidR="00151286" w:rsidRPr="00070E38" w:rsidRDefault="00151286" w:rsidP="00151286">
      <w:pPr>
        <w:spacing w:line="360" w:lineRule="auto"/>
        <w:rPr>
          <w:rFonts w:eastAsia="Times New Roman"/>
          <w:color w:val="333333"/>
        </w:rPr>
      </w:pPr>
      <w:r w:rsidRPr="00070E38">
        <w:rPr>
          <w:rFonts w:eastAsia="Times New Roman"/>
          <w:color w:val="333333"/>
        </w:rPr>
        <w:t xml:space="preserve">Basak, Subal Chandra and Dondeti Sathyanarayana. "Community Pharmacy Practice in India: </w:t>
      </w:r>
    </w:p>
    <w:p w14:paraId="5D6038BE" w14:textId="77777777" w:rsidR="00151286" w:rsidRDefault="00151286" w:rsidP="00151286">
      <w:pPr>
        <w:spacing w:line="360" w:lineRule="auto"/>
        <w:ind w:firstLine="720"/>
        <w:rPr>
          <w:rFonts w:eastAsia="Times New Roman"/>
          <w:color w:val="333333"/>
        </w:rPr>
      </w:pPr>
      <w:r w:rsidRPr="00070E38">
        <w:rPr>
          <w:rFonts w:eastAsia="Times New Roman"/>
          <w:color w:val="333333"/>
        </w:rPr>
        <w:t>Past, Present and Future."</w:t>
      </w:r>
      <w:r w:rsidRPr="00070E38">
        <w:rPr>
          <w:rStyle w:val="apple-converted-space"/>
          <w:rFonts w:eastAsia="Times New Roman"/>
          <w:color w:val="333333"/>
        </w:rPr>
        <w:t> </w:t>
      </w:r>
      <w:r w:rsidRPr="00070E38">
        <w:rPr>
          <w:rFonts w:eastAsia="Times New Roman"/>
          <w:i/>
          <w:iCs/>
          <w:color w:val="333333"/>
        </w:rPr>
        <w:t>Southern Med Review</w:t>
      </w:r>
      <w:r w:rsidRPr="00070E38">
        <w:rPr>
          <w:rStyle w:val="apple-converted-space"/>
          <w:rFonts w:eastAsia="Times New Roman"/>
          <w:color w:val="333333"/>
        </w:rPr>
        <w:t> </w:t>
      </w:r>
      <w:r w:rsidRPr="00070E38">
        <w:rPr>
          <w:rFonts w:eastAsia="Times New Roman"/>
          <w:color w:val="333333"/>
        </w:rPr>
        <w:t>2, no. 1 (April, 2009).</w:t>
      </w:r>
      <w:r>
        <w:rPr>
          <w:rFonts w:eastAsia="Times New Roman"/>
          <w:color w:val="333333"/>
        </w:rPr>
        <w:t xml:space="preserve"> </w:t>
      </w:r>
    </w:p>
    <w:p w14:paraId="3D5A2896" w14:textId="35A4A0D5" w:rsidR="00151286" w:rsidRPr="00070E38" w:rsidRDefault="00151286" w:rsidP="00151286">
      <w:pPr>
        <w:spacing w:line="360" w:lineRule="auto"/>
        <w:ind w:left="720"/>
        <w:rPr>
          <w:rFonts w:eastAsia="Times New Roman"/>
          <w:color w:val="333333"/>
        </w:rPr>
      </w:pPr>
      <w:hyperlink r:id="rId9" w:history="1">
        <w:r w:rsidRPr="00070E38">
          <w:rPr>
            <w:rStyle w:val="Hyperlink"/>
            <w:rFonts w:eastAsia="Times New Roman"/>
          </w:rPr>
          <w:t>https://www.ncbi.nlm.nih.gov/pmc/articles/PMC3471162/</w:t>
        </w:r>
      </w:hyperlink>
      <w:r>
        <w:rPr>
          <w:rFonts w:eastAsia="Times New Roman"/>
          <w:color w:val="333333"/>
        </w:rPr>
        <w:t xml:space="preserve"> (accessed December 4, 2018): 11-14. </w:t>
      </w:r>
    </w:p>
    <w:p w14:paraId="2B3BBFD1" w14:textId="77777777" w:rsidR="00151286" w:rsidRPr="00070E38" w:rsidRDefault="00151286" w:rsidP="00151286">
      <w:pPr>
        <w:spacing w:line="360" w:lineRule="auto"/>
        <w:rPr>
          <w:rFonts w:eastAsia="Times New Roman"/>
          <w:color w:val="333333"/>
        </w:rPr>
      </w:pPr>
      <w:r w:rsidRPr="00070E38">
        <w:rPr>
          <w:rFonts w:eastAsia="Times New Roman"/>
          <w:color w:val="333333"/>
        </w:rPr>
        <w:t xml:space="preserve">Basak, Subal C., Van Mil, J. W. Foppe, and Dondeti Sathyanarayana. "The Changing Roles of </w:t>
      </w:r>
    </w:p>
    <w:p w14:paraId="1A228729" w14:textId="15282209" w:rsidR="00151286" w:rsidRPr="00151286" w:rsidRDefault="00151286" w:rsidP="00151286">
      <w:pPr>
        <w:spacing w:line="360" w:lineRule="auto"/>
        <w:ind w:left="720"/>
        <w:rPr>
          <w:rFonts w:eastAsia="Times New Roman"/>
          <w:color w:val="333333"/>
        </w:rPr>
      </w:pPr>
      <w:r w:rsidRPr="00070E38">
        <w:rPr>
          <w:rFonts w:eastAsia="Times New Roman"/>
          <w:color w:val="333333"/>
        </w:rPr>
        <w:t>Pharmacists in Community Pharmacies: Perception of Reality in India."</w:t>
      </w:r>
      <w:r w:rsidRPr="00070E38">
        <w:rPr>
          <w:rStyle w:val="apple-converted-space"/>
          <w:rFonts w:eastAsia="Times New Roman"/>
          <w:color w:val="333333"/>
        </w:rPr>
        <w:t> </w:t>
      </w:r>
      <w:r w:rsidRPr="00070E38">
        <w:rPr>
          <w:rFonts w:eastAsia="Times New Roman"/>
          <w:i/>
          <w:iCs/>
          <w:color w:val="333333"/>
        </w:rPr>
        <w:t>Pharmacy World and Science</w:t>
      </w:r>
      <w:r w:rsidRPr="00070E38">
        <w:rPr>
          <w:rStyle w:val="apple-converted-space"/>
          <w:rFonts w:eastAsia="Times New Roman"/>
          <w:color w:val="333333"/>
        </w:rPr>
        <w:t> </w:t>
      </w:r>
      <w:r w:rsidRPr="00070E38">
        <w:rPr>
          <w:rFonts w:eastAsia="Times New Roman"/>
          <w:color w:val="333333"/>
        </w:rPr>
        <w:t>31, no. 6 (June 25, 2009). doi:</w:t>
      </w:r>
      <w:r w:rsidRPr="00070E38">
        <w:rPr>
          <w:rFonts w:eastAsia="Times New Roman"/>
          <w:color w:val="333333"/>
          <w:spacing w:val="4"/>
          <w:shd w:val="clear" w:color="auto" w:fill="FCFCFC"/>
        </w:rPr>
        <w:t xml:space="preserve"> https://doi.org/10.1007/s11096-009-9307-y</w:t>
      </w:r>
      <w:r w:rsidRPr="00070E38">
        <w:rPr>
          <w:rFonts w:eastAsia="Times New Roman"/>
          <w:color w:val="333333"/>
        </w:rPr>
        <w:t>(accessed December 4, 2016): 612-618.</w:t>
      </w:r>
    </w:p>
    <w:p w14:paraId="45AD5CC3" w14:textId="77777777" w:rsidR="00151286" w:rsidRDefault="005D43ED" w:rsidP="00151286">
      <w:pPr>
        <w:spacing w:line="360" w:lineRule="auto"/>
        <w:rPr>
          <w:rFonts w:eastAsia="Times New Roman"/>
          <w:i/>
          <w:iCs/>
          <w:color w:val="000000"/>
        </w:rPr>
      </w:pPr>
      <w:r w:rsidRPr="00070E38">
        <w:rPr>
          <w:rFonts w:eastAsia="Times New Roman"/>
          <w:color w:val="000000"/>
        </w:rPr>
        <w:t>Ganguly, Nirmal et al. "Rationalizing antibiotic use to limit antibiotic resistance in India." </w:t>
      </w:r>
      <w:r w:rsidRPr="00070E38">
        <w:rPr>
          <w:rFonts w:eastAsia="Times New Roman"/>
          <w:i/>
          <w:iCs/>
          <w:color w:val="000000"/>
        </w:rPr>
        <w:t xml:space="preserve">Indian </w:t>
      </w:r>
    </w:p>
    <w:p w14:paraId="22F82403" w14:textId="7D803541" w:rsidR="00151286" w:rsidRPr="00151286" w:rsidRDefault="005D43ED" w:rsidP="00151286">
      <w:pPr>
        <w:spacing w:line="360" w:lineRule="auto"/>
        <w:ind w:left="720"/>
        <w:rPr>
          <w:rFonts w:eastAsia="Times New Roman"/>
          <w:color w:val="000000"/>
        </w:rPr>
      </w:pPr>
      <w:r w:rsidRPr="00070E38">
        <w:rPr>
          <w:rFonts w:eastAsia="Times New Roman"/>
          <w:i/>
          <w:iCs/>
          <w:color w:val="000000"/>
        </w:rPr>
        <w:t>Journal of Medical Research</w:t>
      </w:r>
      <w:r w:rsidR="00151286">
        <w:rPr>
          <w:rFonts w:eastAsia="Times New Roman"/>
          <w:color w:val="000000"/>
        </w:rPr>
        <w:t xml:space="preserve"> 134, no. 3 (September 11, </w:t>
      </w:r>
      <w:r w:rsidRPr="00070E38">
        <w:rPr>
          <w:rFonts w:eastAsia="Times New Roman"/>
          <w:color w:val="000000"/>
        </w:rPr>
        <w:t>2011).</w:t>
      </w:r>
      <w:r w:rsidR="00151286">
        <w:rPr>
          <w:rFonts w:eastAsia="Times New Roman"/>
          <w:color w:val="000000"/>
        </w:rPr>
        <w:t xml:space="preserve"> </w:t>
      </w:r>
      <w:r w:rsidRPr="00070E38">
        <w:rPr>
          <w:rFonts w:eastAsia="Times New Roman"/>
          <w:color w:val="000000"/>
        </w:rPr>
        <w:t>http://link.galegroup.com/apps/doc/A269431179/AONE?u=upitt_main&amp;sid=AONE&amp;xid=24f8e184.</w:t>
      </w:r>
      <w:r w:rsidRPr="00070E38">
        <w:rPr>
          <w:rFonts w:eastAsia="Times New Roman"/>
          <w:color w:val="323232"/>
          <w:shd w:val="clear" w:color="auto" w:fill="FFFFFF"/>
        </w:rPr>
        <w:t xml:space="preserve"> (accessed December 4, 2018): 281-294.</w:t>
      </w:r>
    </w:p>
    <w:p w14:paraId="18A9AA94" w14:textId="77777777" w:rsidR="00151286" w:rsidRPr="00070E38" w:rsidRDefault="00151286" w:rsidP="00151286">
      <w:pPr>
        <w:spacing w:line="360" w:lineRule="auto"/>
        <w:rPr>
          <w:rFonts w:eastAsia="Times New Roman"/>
          <w:i/>
          <w:iCs/>
          <w:color w:val="333333"/>
        </w:rPr>
      </w:pPr>
      <w:r w:rsidRPr="00070E38">
        <w:rPr>
          <w:rFonts w:eastAsia="Times New Roman"/>
          <w:color w:val="333333"/>
        </w:rPr>
        <w:t>Ghafur, Abdul. "Perseverance, Persistence, and the Chennai Declaration."</w:t>
      </w:r>
      <w:r w:rsidRPr="00070E38">
        <w:rPr>
          <w:rStyle w:val="apple-converted-space"/>
          <w:rFonts w:eastAsia="Times New Roman"/>
          <w:color w:val="333333"/>
        </w:rPr>
        <w:t> </w:t>
      </w:r>
      <w:r w:rsidRPr="00070E38">
        <w:rPr>
          <w:rFonts w:eastAsia="Times New Roman"/>
          <w:i/>
          <w:iCs/>
          <w:color w:val="333333"/>
        </w:rPr>
        <w:t xml:space="preserve">Lancet Infectious </w:t>
      </w:r>
    </w:p>
    <w:p w14:paraId="5604FEA4" w14:textId="3A87F693" w:rsidR="00151286" w:rsidRPr="00151286" w:rsidRDefault="00151286" w:rsidP="00151286">
      <w:pPr>
        <w:spacing w:line="360" w:lineRule="auto"/>
        <w:ind w:left="720"/>
        <w:rPr>
          <w:rFonts w:eastAsia="Times New Roman"/>
        </w:rPr>
      </w:pPr>
      <w:r w:rsidRPr="00070E38">
        <w:rPr>
          <w:rFonts w:eastAsia="Times New Roman"/>
          <w:i/>
          <w:iCs/>
          <w:color w:val="333333"/>
        </w:rPr>
        <w:t xml:space="preserve">Diseases, </w:t>
      </w:r>
      <w:r w:rsidRPr="00070E38">
        <w:rPr>
          <w:rFonts w:eastAsia="Times New Roman"/>
          <w:color w:val="333333"/>
        </w:rPr>
        <w:t>13, no. 12 (December, 2013). doi:</w:t>
      </w:r>
      <w:r w:rsidRPr="00070E38">
        <w:rPr>
          <w:rFonts w:eastAsia="Times New Roman"/>
        </w:rPr>
        <w:t xml:space="preserve"> </w:t>
      </w:r>
      <w:hyperlink r:id="rId10" w:tgtFrame="_blank" w:tooltip="Persistent link using digital object identifier" w:history="1">
        <w:r w:rsidRPr="00070E38">
          <w:rPr>
            <w:rStyle w:val="Hyperlink"/>
            <w:rFonts w:eastAsia="Times New Roman"/>
            <w:color w:val="007398"/>
          </w:rPr>
          <w:t>https://doi.org/10.1016/S1473-3099(13)70314-1</w:t>
        </w:r>
      </w:hyperlink>
      <w:r w:rsidRPr="00070E38">
        <w:rPr>
          <w:rFonts w:eastAsia="Times New Roman"/>
        </w:rPr>
        <w:t xml:space="preserve">. </w:t>
      </w:r>
      <w:r w:rsidRPr="00070E38">
        <w:rPr>
          <w:rFonts w:eastAsia="Times New Roman"/>
          <w:color w:val="333333"/>
        </w:rPr>
        <w:t>(accessed December 4, 2018): 1007-1008.</w:t>
      </w:r>
    </w:p>
    <w:p w14:paraId="26AD9428" w14:textId="67FDE6F0" w:rsidR="00151286" w:rsidRPr="00070E38" w:rsidRDefault="00151286" w:rsidP="00151286">
      <w:pPr>
        <w:spacing w:line="360" w:lineRule="auto"/>
        <w:rPr>
          <w:rFonts w:eastAsia="Times New Roman"/>
          <w:color w:val="333333"/>
        </w:rPr>
      </w:pPr>
      <w:r w:rsidRPr="00070E38">
        <w:rPr>
          <w:rFonts w:eastAsia="Times New Roman"/>
          <w:color w:val="333333"/>
        </w:rPr>
        <w:t xml:space="preserve">Ghafur, A., D. Mathai, A. Muruganathan, J. Jayalal, R. Kant, D. Chaudhary, K. Prabhash, et al. </w:t>
      </w:r>
    </w:p>
    <w:p w14:paraId="4BE36604" w14:textId="14F1DD41" w:rsidR="005D43ED" w:rsidRPr="00151286" w:rsidRDefault="00151286" w:rsidP="00151286">
      <w:pPr>
        <w:spacing w:line="360" w:lineRule="auto"/>
        <w:ind w:left="720"/>
        <w:rPr>
          <w:rFonts w:eastAsia="Times New Roman"/>
          <w:color w:val="333333"/>
        </w:rPr>
      </w:pPr>
      <w:r w:rsidRPr="00070E38">
        <w:rPr>
          <w:rFonts w:eastAsia="Times New Roman"/>
          <w:color w:val="333333"/>
        </w:rPr>
        <w:t>"The Chennai Declaration: A Roadmap to Tackle the Challenge of Antimicrobial Resistance."</w:t>
      </w:r>
      <w:r w:rsidRPr="00070E38">
        <w:rPr>
          <w:rStyle w:val="apple-converted-space"/>
          <w:rFonts w:eastAsia="Times New Roman"/>
          <w:color w:val="333333"/>
        </w:rPr>
        <w:t> </w:t>
      </w:r>
      <w:r w:rsidRPr="00070E38">
        <w:rPr>
          <w:rFonts w:eastAsia="Times New Roman"/>
          <w:i/>
          <w:iCs/>
          <w:color w:val="333333"/>
        </w:rPr>
        <w:t>Indian Journal of Cancer</w:t>
      </w:r>
      <w:r w:rsidRPr="00070E38">
        <w:rPr>
          <w:rStyle w:val="apple-converted-space"/>
          <w:rFonts w:eastAsia="Times New Roman"/>
          <w:color w:val="333333"/>
        </w:rPr>
        <w:t> </w:t>
      </w:r>
      <w:r w:rsidRPr="00070E38">
        <w:rPr>
          <w:rFonts w:eastAsia="Times New Roman"/>
          <w:color w:val="333333"/>
        </w:rPr>
        <w:t xml:space="preserve">50, no. 1 (January-March, 2013). doi: </w:t>
      </w:r>
      <w:r w:rsidRPr="00070E38">
        <w:rPr>
          <w:rFonts w:eastAsia="Times New Roman"/>
          <w:color w:val="1F1F3F"/>
          <w:shd w:val="clear" w:color="auto" w:fill="FFFFFF"/>
        </w:rPr>
        <w:t>10.4103/0019-509X.104065</w:t>
      </w:r>
      <w:r w:rsidRPr="00070E38">
        <w:rPr>
          <w:rFonts w:eastAsia="Times New Roman"/>
          <w:color w:val="333333"/>
        </w:rPr>
        <w:t xml:space="preserve">71-73. (accessed December 4, 2016): 71-73. </w:t>
      </w:r>
    </w:p>
    <w:p w14:paraId="2E62FA54" w14:textId="262A3CD0" w:rsidR="005D43ED" w:rsidRPr="00070E38" w:rsidRDefault="005D43ED" w:rsidP="00151286">
      <w:pPr>
        <w:spacing w:line="360" w:lineRule="auto"/>
        <w:rPr>
          <w:rFonts w:eastAsia="Times New Roman"/>
          <w:color w:val="333333"/>
        </w:rPr>
      </w:pPr>
      <w:r w:rsidRPr="00070E38">
        <w:rPr>
          <w:rFonts w:eastAsia="Times New Roman"/>
          <w:color w:val="333333"/>
        </w:rPr>
        <w:t xml:space="preserve">Kakkar, Manish, Kamini Walia, Sirenda Vong, Pranab Chatterjee, and Anuj Sharma. "Antibiotic </w:t>
      </w:r>
    </w:p>
    <w:p w14:paraId="21123733" w14:textId="77777777" w:rsidR="000967E7" w:rsidRDefault="005D43ED" w:rsidP="00151286">
      <w:pPr>
        <w:spacing w:line="360" w:lineRule="auto"/>
        <w:ind w:left="720"/>
        <w:rPr>
          <w:rFonts w:eastAsia="Times New Roman"/>
        </w:rPr>
      </w:pPr>
      <w:r w:rsidRPr="00070E38">
        <w:rPr>
          <w:rFonts w:eastAsia="Times New Roman"/>
          <w:color w:val="333333"/>
        </w:rPr>
        <w:t>Resistance and its Containment in India."</w:t>
      </w:r>
      <w:r w:rsidRPr="00070E38">
        <w:rPr>
          <w:rStyle w:val="apple-converted-space"/>
          <w:rFonts w:eastAsia="Times New Roman"/>
          <w:color w:val="333333"/>
        </w:rPr>
        <w:t> </w:t>
      </w:r>
      <w:r w:rsidRPr="00070E38">
        <w:rPr>
          <w:rFonts w:eastAsia="Times New Roman"/>
          <w:i/>
          <w:iCs/>
          <w:color w:val="333333"/>
        </w:rPr>
        <w:t>Bmj</w:t>
      </w:r>
      <w:r w:rsidRPr="00070E38">
        <w:rPr>
          <w:rStyle w:val="apple-converted-space"/>
          <w:rFonts w:eastAsia="Times New Roman"/>
          <w:color w:val="333333"/>
        </w:rPr>
        <w:t> </w:t>
      </w:r>
      <w:r w:rsidRPr="00070E38">
        <w:rPr>
          <w:rFonts w:eastAsia="Times New Roman"/>
          <w:color w:val="333333"/>
        </w:rPr>
        <w:t xml:space="preserve">358, (September 05, 2017). </w:t>
      </w:r>
      <w:r w:rsidRPr="00070E38">
        <w:rPr>
          <w:rFonts w:eastAsia="Times New Roman"/>
          <w:color w:val="333333"/>
          <w:shd w:val="clear" w:color="auto" w:fill="FFFFFF"/>
        </w:rPr>
        <w:t>doi:</w:t>
      </w:r>
      <w:r w:rsidRPr="00070E38">
        <w:rPr>
          <w:rStyle w:val="apple-converted-space"/>
          <w:rFonts w:eastAsia="Times New Roman"/>
          <w:color w:val="333333"/>
          <w:shd w:val="clear" w:color="auto" w:fill="FFFFFF"/>
        </w:rPr>
        <w:t> </w:t>
      </w:r>
      <w:hyperlink r:id="rId11" w:history="1">
        <w:r w:rsidRPr="00070E38">
          <w:rPr>
            <w:rStyle w:val="Hyperlink"/>
            <w:rFonts w:eastAsia="Times New Roman"/>
            <w:color w:val="2A6EBB"/>
            <w:u w:val="none"/>
            <w:bdr w:val="none" w:sz="0" w:space="0" w:color="auto" w:frame="1"/>
          </w:rPr>
          <w:t>https://doi.org/10.1136/bmj.j2687</w:t>
        </w:r>
      </w:hyperlink>
      <w:r w:rsidRPr="00070E38">
        <w:rPr>
          <w:rFonts w:eastAsia="Times New Roman"/>
        </w:rPr>
        <w:t>. (accessed December 4, 2016): 25-30.</w:t>
      </w:r>
    </w:p>
    <w:p w14:paraId="31F12BD0" w14:textId="77777777" w:rsidR="00151286" w:rsidRPr="00070E38" w:rsidRDefault="00151286" w:rsidP="00151286">
      <w:pPr>
        <w:spacing w:line="360" w:lineRule="auto"/>
        <w:rPr>
          <w:rFonts w:eastAsia="Times New Roman"/>
          <w:color w:val="333333"/>
        </w:rPr>
      </w:pPr>
      <w:r w:rsidRPr="00070E38">
        <w:rPr>
          <w:rFonts w:eastAsia="Times New Roman"/>
          <w:color w:val="333333"/>
        </w:rPr>
        <w:t xml:space="preserve">Kotwani, A., C. Wattal, P. C. Joshi, and K. Holloway. "Irrational use of Antibiotics and Role of </w:t>
      </w:r>
    </w:p>
    <w:p w14:paraId="0C2AABBF" w14:textId="77777777" w:rsidR="00151286" w:rsidRPr="00070E38" w:rsidRDefault="00151286" w:rsidP="00151286">
      <w:pPr>
        <w:spacing w:line="360" w:lineRule="auto"/>
        <w:ind w:firstLine="720"/>
        <w:rPr>
          <w:rFonts w:eastAsia="Times New Roman"/>
          <w:i/>
          <w:iCs/>
          <w:color w:val="333333"/>
        </w:rPr>
      </w:pPr>
      <w:r w:rsidRPr="00070E38">
        <w:rPr>
          <w:rFonts w:eastAsia="Times New Roman"/>
          <w:color w:val="333333"/>
        </w:rPr>
        <w:t>the Pharmacist: An Insight from a Qualitative Study in New Delhi, India."</w:t>
      </w:r>
      <w:r w:rsidRPr="00070E38">
        <w:rPr>
          <w:rStyle w:val="apple-converted-space"/>
          <w:rFonts w:eastAsia="Times New Roman"/>
          <w:color w:val="333333"/>
        </w:rPr>
        <w:t> </w:t>
      </w:r>
      <w:r w:rsidRPr="00070E38">
        <w:rPr>
          <w:rFonts w:eastAsia="Times New Roman"/>
          <w:i/>
          <w:iCs/>
          <w:color w:val="333333"/>
        </w:rPr>
        <w:t xml:space="preserve">Journal of </w:t>
      </w:r>
    </w:p>
    <w:p w14:paraId="3909398A" w14:textId="417D3608" w:rsidR="00151286" w:rsidRDefault="00151286" w:rsidP="00151286">
      <w:pPr>
        <w:spacing w:line="360" w:lineRule="auto"/>
        <w:ind w:left="720"/>
        <w:rPr>
          <w:rFonts w:eastAsia="Times New Roman"/>
          <w:color w:val="333333"/>
        </w:rPr>
      </w:pPr>
      <w:r w:rsidRPr="00070E38">
        <w:rPr>
          <w:rFonts w:eastAsia="Times New Roman"/>
          <w:i/>
          <w:iCs/>
          <w:color w:val="333333"/>
        </w:rPr>
        <w:t>Clinical Pharmacy and Therapeutics</w:t>
      </w:r>
      <w:r w:rsidRPr="00070E38">
        <w:rPr>
          <w:rStyle w:val="apple-converted-space"/>
          <w:rFonts w:eastAsia="Times New Roman"/>
          <w:color w:val="333333"/>
        </w:rPr>
        <w:t> </w:t>
      </w:r>
      <w:r w:rsidRPr="00070E38">
        <w:rPr>
          <w:rFonts w:eastAsia="Times New Roman"/>
          <w:color w:val="333333"/>
        </w:rPr>
        <w:t xml:space="preserve">37, no. 3 (August 23, 2012). doi: </w:t>
      </w:r>
      <w:hyperlink r:id="rId12" w:history="1">
        <w:r w:rsidRPr="00070E38">
          <w:rPr>
            <w:rStyle w:val="Hyperlink"/>
            <w:rFonts w:eastAsia="Times New Roman"/>
            <w:bCs/>
            <w:color w:val="005274"/>
          </w:rPr>
          <w:t>https://doi.org/10.1111/j.1365-2710.2011.01293.x</w:t>
        </w:r>
      </w:hyperlink>
      <w:r w:rsidRPr="00070E38">
        <w:rPr>
          <w:rFonts w:eastAsia="Times New Roman"/>
        </w:rPr>
        <w:t xml:space="preserve">. (accessed December 4, 2018): </w:t>
      </w:r>
      <w:r w:rsidRPr="00070E38">
        <w:rPr>
          <w:rFonts w:eastAsia="Times New Roman"/>
          <w:color w:val="333333"/>
        </w:rPr>
        <w:t>308-312.</w:t>
      </w:r>
    </w:p>
    <w:p w14:paraId="13BF2E1C" w14:textId="77777777" w:rsidR="00151286" w:rsidRPr="00070E38" w:rsidRDefault="00151286" w:rsidP="00151286">
      <w:pPr>
        <w:spacing w:line="360" w:lineRule="auto"/>
        <w:rPr>
          <w:rFonts w:eastAsia="Times New Roman"/>
        </w:rPr>
      </w:pPr>
      <w:r w:rsidRPr="00070E38">
        <w:rPr>
          <w:rFonts w:eastAsia="Times New Roman"/>
          <w:color w:val="323232"/>
          <w:shd w:val="clear" w:color="auto" w:fill="FFFFFF"/>
        </w:rPr>
        <w:lastRenderedPageBreak/>
        <w:t>Laxminarayan, Ramanan, and Ranjit Roy Chaudhury. "Antibiotic Resistance in India:</w:t>
      </w:r>
    </w:p>
    <w:p w14:paraId="18230D3A" w14:textId="69F085A1" w:rsidR="00151286" w:rsidRPr="00151286" w:rsidRDefault="00151286" w:rsidP="00151286">
      <w:pPr>
        <w:pStyle w:val="ListParagraph"/>
        <w:spacing w:line="360" w:lineRule="auto"/>
        <w:rPr>
          <w:rFonts w:eastAsia="Times New Roman"/>
        </w:rPr>
      </w:pPr>
      <w:r w:rsidRPr="00070E38">
        <w:rPr>
          <w:rFonts w:eastAsia="Times New Roman"/>
          <w:color w:val="323232"/>
          <w:shd w:val="clear" w:color="auto" w:fill="FFFFFF"/>
        </w:rPr>
        <w:t>Drivers and Opportunities for Action."</w:t>
      </w:r>
      <w:r w:rsidRPr="00070E38">
        <w:rPr>
          <w:rStyle w:val="apple-converted-space"/>
          <w:rFonts w:eastAsia="Times New Roman"/>
          <w:color w:val="323232"/>
          <w:shd w:val="clear" w:color="auto" w:fill="FFFFFF"/>
        </w:rPr>
        <w:t> </w:t>
      </w:r>
      <w:r w:rsidRPr="00070E38">
        <w:rPr>
          <w:rFonts w:eastAsia="Times New Roman"/>
          <w:i/>
          <w:iCs/>
          <w:color w:val="323232"/>
          <w:shd w:val="clear" w:color="auto" w:fill="FFFFFF"/>
        </w:rPr>
        <w:t xml:space="preserve">PLOS Medicine </w:t>
      </w:r>
      <w:r w:rsidRPr="00070E38">
        <w:rPr>
          <w:rFonts w:eastAsia="Times New Roman"/>
          <w:color w:val="323232"/>
          <w:shd w:val="clear" w:color="auto" w:fill="FFFFFF"/>
        </w:rPr>
        <w:t>13, no. 3 (March 02, 2016). doi:10.1371/journal.pmed.1001974. (accessed December 4, 2018): 1-7.</w:t>
      </w:r>
    </w:p>
    <w:p w14:paraId="7D6579C2" w14:textId="7498AE8A" w:rsidR="002D534C" w:rsidRPr="00070E38" w:rsidRDefault="002D534C" w:rsidP="00151286">
      <w:pPr>
        <w:spacing w:line="360" w:lineRule="auto"/>
        <w:rPr>
          <w:rFonts w:eastAsia="Times New Roman"/>
          <w:color w:val="333333"/>
          <w:shd w:val="clear" w:color="auto" w:fill="FFFFFF"/>
        </w:rPr>
      </w:pPr>
      <w:r w:rsidRPr="00070E38">
        <w:rPr>
          <w:rFonts w:eastAsia="Times New Roman"/>
          <w:color w:val="333333"/>
          <w:shd w:val="clear" w:color="auto" w:fill="FFFFFF"/>
        </w:rPr>
        <w:t xml:space="preserve">“National Action Plan on Antimicrobial Resistance.” Ministry of Health &amp; Family Welfare, </w:t>
      </w:r>
    </w:p>
    <w:p w14:paraId="38FD01FC" w14:textId="135695B4" w:rsidR="002D534C" w:rsidRPr="00070E38" w:rsidRDefault="002D534C" w:rsidP="00151286">
      <w:pPr>
        <w:spacing w:line="360" w:lineRule="auto"/>
        <w:ind w:left="720"/>
        <w:rPr>
          <w:rFonts w:eastAsia="Times New Roman"/>
          <w:color w:val="333333"/>
          <w:shd w:val="clear" w:color="auto" w:fill="FFFFFF"/>
        </w:rPr>
      </w:pPr>
      <w:r w:rsidRPr="00070E38">
        <w:rPr>
          <w:rFonts w:eastAsia="Times New Roman"/>
          <w:color w:val="333333"/>
          <w:shd w:val="clear" w:color="auto" w:fill="FFFFFF"/>
        </w:rPr>
        <w:t xml:space="preserve">Government of </w:t>
      </w:r>
      <w:r w:rsidRPr="00070E38">
        <w:rPr>
          <w:rFonts w:eastAsia="Times New Roman"/>
          <w:color w:val="333333"/>
          <w:shd w:val="clear" w:color="auto" w:fill="FFFFFF"/>
        </w:rPr>
        <w:t>India, April,</w:t>
      </w:r>
      <w:r w:rsidRPr="00070E38">
        <w:rPr>
          <w:rFonts w:eastAsia="Times New Roman"/>
          <w:color w:val="333333"/>
          <w:shd w:val="clear" w:color="auto" w:fill="FFFFFF"/>
        </w:rPr>
        <w:t xml:space="preserve"> 2017.</w:t>
      </w:r>
      <w:r w:rsidRPr="00070E38">
        <w:rPr>
          <w:rFonts w:eastAsia="Times New Roman"/>
          <w:color w:val="333333"/>
          <w:shd w:val="clear" w:color="auto" w:fill="FFFFFF"/>
        </w:rPr>
        <w:t xml:space="preserve"> (accessed December 4. 2016). </w:t>
      </w:r>
      <w:hyperlink r:id="rId13" w:history="1">
        <w:r w:rsidRPr="00070E38">
          <w:rPr>
            <w:rStyle w:val="Hyperlink"/>
            <w:rFonts w:eastAsia="Times New Roman"/>
            <w:shd w:val="clear" w:color="auto" w:fill="FFFFFF"/>
          </w:rPr>
          <w:t>http://www.searo.who.int/india/topics/antimicrobial_resistance/nap_amr.pdf</w:t>
        </w:r>
      </w:hyperlink>
      <w:r w:rsidRPr="00070E38">
        <w:rPr>
          <w:rFonts w:eastAsia="Times New Roman"/>
          <w:color w:val="333333"/>
          <w:shd w:val="clear" w:color="auto" w:fill="FFFFFF"/>
        </w:rPr>
        <w:t xml:space="preserve"> </w:t>
      </w:r>
    </w:p>
    <w:p w14:paraId="4BBC9ACD" w14:textId="14C4F007" w:rsidR="00B4717F" w:rsidRDefault="00B4717F" w:rsidP="00151286">
      <w:pPr>
        <w:spacing w:line="360" w:lineRule="auto"/>
        <w:ind w:left="720"/>
        <w:rPr>
          <w:rFonts w:eastAsia="Times New Roman"/>
          <w:color w:val="333333"/>
        </w:rPr>
      </w:pPr>
      <w:r w:rsidRPr="00070E38">
        <w:rPr>
          <w:rFonts w:eastAsia="Times New Roman"/>
          <w:color w:val="333333"/>
        </w:rPr>
        <w:t xml:space="preserve">(accessed December 4, 2018): 11- 14. </w:t>
      </w:r>
    </w:p>
    <w:p w14:paraId="4CBDDC7F" w14:textId="77777777" w:rsidR="00151286" w:rsidRPr="00070E38" w:rsidRDefault="00151286" w:rsidP="00151286">
      <w:pPr>
        <w:pStyle w:val="NormalWeb"/>
        <w:spacing w:before="0" w:beforeAutospacing="0" w:after="0" w:afterAutospacing="0" w:line="360" w:lineRule="auto"/>
        <w:rPr>
          <w:rFonts w:eastAsia="Times New Roman"/>
          <w:color w:val="2E414F"/>
          <w:shd w:val="clear" w:color="auto" w:fill="FFFFFF"/>
        </w:rPr>
      </w:pPr>
      <w:r w:rsidRPr="00070E38">
        <w:rPr>
          <w:rFonts w:eastAsia="Times New Roman"/>
          <w:color w:val="2E414F"/>
          <w:shd w:val="clear" w:color="auto" w:fill="FFFFFF"/>
        </w:rPr>
        <w:t xml:space="preserve">Nepal, Gaurav and Shekhar Bhatta. “Self-medication with Antibiotics in WHO Southeast Asian </w:t>
      </w:r>
    </w:p>
    <w:p w14:paraId="5C29DADB" w14:textId="3D561948" w:rsidR="00151286" w:rsidRPr="00151286" w:rsidRDefault="00151286" w:rsidP="00151286">
      <w:pPr>
        <w:pStyle w:val="NormalWeb"/>
        <w:spacing w:before="0" w:beforeAutospacing="0" w:after="0" w:afterAutospacing="0" w:line="360" w:lineRule="auto"/>
        <w:ind w:left="720"/>
      </w:pPr>
      <w:r w:rsidRPr="00070E38">
        <w:rPr>
          <w:rFonts w:eastAsia="Times New Roman"/>
          <w:color w:val="2E414F"/>
          <w:shd w:val="clear" w:color="auto" w:fill="FFFFFF"/>
        </w:rPr>
        <w:t>Region: A Systematic Review.”</w:t>
      </w:r>
      <w:r w:rsidRPr="00070E38">
        <w:rPr>
          <w:rStyle w:val="apple-converted-space"/>
          <w:rFonts w:eastAsia="Times New Roman"/>
          <w:color w:val="2E414F"/>
          <w:shd w:val="clear" w:color="auto" w:fill="FFFFFF"/>
        </w:rPr>
        <w:t> </w:t>
      </w:r>
      <w:r w:rsidRPr="00070E38">
        <w:rPr>
          <w:rStyle w:val="Emphasis"/>
          <w:rFonts w:eastAsia="Times New Roman"/>
          <w:color w:val="2E414F"/>
        </w:rPr>
        <w:t>Cureus</w:t>
      </w:r>
      <w:r w:rsidRPr="00070E38">
        <w:rPr>
          <w:rStyle w:val="apple-converted-space"/>
          <w:rFonts w:eastAsia="Times New Roman"/>
          <w:color w:val="2E414F"/>
          <w:shd w:val="clear" w:color="auto" w:fill="FFFFFF"/>
        </w:rPr>
        <w:t xml:space="preserve"> 10, no. 4 </w:t>
      </w:r>
      <w:r w:rsidRPr="00070E38">
        <w:rPr>
          <w:rFonts w:eastAsia="Times New Roman"/>
          <w:color w:val="2E414F"/>
          <w:shd w:val="clear" w:color="auto" w:fill="FFFFFF"/>
        </w:rPr>
        <w:t xml:space="preserve">(April 05, 2018). doi: </w:t>
      </w:r>
      <w:r w:rsidRPr="00070E38">
        <w:t xml:space="preserve">10.7759/cureus.2428. (accessed December 4, 2018): 1-17. </w:t>
      </w:r>
    </w:p>
    <w:p w14:paraId="3AAE8896" w14:textId="77777777" w:rsidR="00BF7358" w:rsidRPr="00070E38" w:rsidRDefault="007621B6" w:rsidP="00151286">
      <w:pPr>
        <w:spacing w:line="360" w:lineRule="auto"/>
        <w:rPr>
          <w:rFonts w:eastAsia="Times New Roman"/>
          <w:color w:val="333333"/>
        </w:rPr>
      </w:pPr>
      <w:r w:rsidRPr="00070E38">
        <w:rPr>
          <w:rFonts w:eastAsia="Times New Roman"/>
          <w:color w:val="333333"/>
        </w:rPr>
        <w:t xml:space="preserve">Shet, Anita, Suba Sundaresan, and Birger C. Forsberg. "Pharmacy-Based Dispensing of </w:t>
      </w:r>
    </w:p>
    <w:p w14:paraId="30BB6A49" w14:textId="77777777" w:rsidR="00BF7358" w:rsidRPr="00070E38" w:rsidRDefault="007621B6" w:rsidP="00151286">
      <w:pPr>
        <w:spacing w:line="360" w:lineRule="auto"/>
        <w:ind w:firstLine="720"/>
        <w:rPr>
          <w:rFonts w:eastAsia="Times New Roman"/>
          <w:color w:val="333333"/>
        </w:rPr>
      </w:pPr>
      <w:r w:rsidRPr="00070E38">
        <w:rPr>
          <w:rFonts w:eastAsia="Times New Roman"/>
          <w:color w:val="333333"/>
        </w:rPr>
        <w:t xml:space="preserve">Antimicrobial Agents without Prescription in India: Appropriateness and Cost Burden in </w:t>
      </w:r>
    </w:p>
    <w:p w14:paraId="1BD130E9" w14:textId="20E941DF" w:rsidR="007621B6" w:rsidRDefault="007621B6" w:rsidP="00151286">
      <w:pPr>
        <w:spacing w:line="360" w:lineRule="auto"/>
        <w:ind w:left="720"/>
        <w:rPr>
          <w:rFonts w:eastAsia="Times New Roman"/>
        </w:rPr>
      </w:pPr>
      <w:r w:rsidRPr="00070E38">
        <w:rPr>
          <w:rFonts w:eastAsia="Times New Roman"/>
          <w:color w:val="333333"/>
        </w:rPr>
        <w:t>the Private Sector."</w:t>
      </w:r>
      <w:r w:rsidRPr="00070E38">
        <w:rPr>
          <w:rStyle w:val="apple-converted-space"/>
          <w:rFonts w:eastAsia="Times New Roman"/>
          <w:color w:val="333333"/>
        </w:rPr>
        <w:t> </w:t>
      </w:r>
      <w:r w:rsidRPr="00070E38">
        <w:rPr>
          <w:rFonts w:eastAsia="Times New Roman"/>
          <w:i/>
          <w:iCs/>
          <w:color w:val="333333"/>
        </w:rPr>
        <w:t>Antimicrobial Resistance and Infection Control</w:t>
      </w:r>
      <w:r w:rsidRPr="00070E38">
        <w:rPr>
          <w:rStyle w:val="apple-converted-space"/>
          <w:rFonts w:eastAsia="Times New Roman"/>
          <w:color w:val="333333"/>
        </w:rPr>
        <w:t> </w:t>
      </w:r>
      <w:r w:rsidR="00D047D0" w:rsidRPr="00070E38">
        <w:rPr>
          <w:rFonts w:eastAsia="Times New Roman"/>
          <w:color w:val="333333"/>
        </w:rPr>
        <w:t>4, no. 55</w:t>
      </w:r>
      <w:r w:rsidRPr="00070E38">
        <w:rPr>
          <w:rFonts w:eastAsia="Times New Roman"/>
          <w:color w:val="333333"/>
        </w:rPr>
        <w:t xml:space="preserve"> (</w:t>
      </w:r>
      <w:r w:rsidR="00D047D0" w:rsidRPr="00070E38">
        <w:rPr>
          <w:rFonts w:eastAsia="Times New Roman"/>
          <w:color w:val="333333"/>
        </w:rPr>
        <w:t>December, 112015). doi:</w:t>
      </w:r>
      <w:r w:rsidR="00D047D0" w:rsidRPr="00070E38">
        <w:rPr>
          <w:rFonts w:eastAsia="Times New Roman"/>
        </w:rPr>
        <w:t xml:space="preserve"> </w:t>
      </w:r>
      <w:r w:rsidR="00D047D0" w:rsidRPr="00070E38">
        <w:rPr>
          <w:rFonts w:eastAsia="Times New Roman"/>
          <w:color w:val="888888"/>
        </w:rPr>
        <w:t>10.1186/s13756-015-0098-8</w:t>
      </w:r>
      <w:r w:rsidR="00D047D0" w:rsidRPr="00070E38">
        <w:rPr>
          <w:rFonts w:eastAsia="Times New Roman"/>
        </w:rPr>
        <w:t xml:space="preserve">. (accessed December 4, 2018): 1-7. </w:t>
      </w:r>
    </w:p>
    <w:p w14:paraId="206CE1F1" w14:textId="7146F5C4" w:rsidR="00151286" w:rsidRPr="00070E38" w:rsidRDefault="00151286" w:rsidP="00151286">
      <w:pPr>
        <w:pStyle w:val="NormalWeb"/>
        <w:spacing w:before="0" w:beforeAutospacing="0" w:after="0" w:afterAutospacing="0" w:line="360" w:lineRule="auto"/>
        <w:ind w:left="562" w:hanging="567"/>
        <w:rPr>
          <w:rFonts w:eastAsia="Times New Roman"/>
          <w:color w:val="333333"/>
        </w:rPr>
      </w:pPr>
      <w:r w:rsidRPr="00070E38">
        <w:rPr>
          <w:color w:val="000000"/>
        </w:rPr>
        <w:t xml:space="preserve">Srivastava, R.K. “National Policy for Containment of Antimicrobial Resistance in India.” Ministry of Health &amp; Family Welfare, Government of India, 2011. https://mohfw.gov.in/sites/default/files/3203490350abpolicy%20%281%29.pdf . </w:t>
      </w:r>
      <w:r w:rsidRPr="00070E38">
        <w:rPr>
          <w:rFonts w:eastAsia="Times New Roman"/>
          <w:color w:val="333333"/>
        </w:rPr>
        <w:t>(accessed December 4, 2016).</w:t>
      </w:r>
    </w:p>
    <w:p w14:paraId="16B90BF2" w14:textId="77777777" w:rsidR="00151286" w:rsidRPr="00070E38" w:rsidRDefault="00151286" w:rsidP="00151286">
      <w:pPr>
        <w:spacing w:line="360" w:lineRule="auto"/>
        <w:rPr>
          <w:rFonts w:eastAsia="Times New Roman"/>
        </w:rPr>
      </w:pPr>
      <w:r w:rsidRPr="00070E38">
        <w:rPr>
          <w:rFonts w:eastAsia="Times New Roman"/>
          <w:i/>
          <w:iCs/>
          <w:color w:val="323232"/>
          <w:shd w:val="clear" w:color="auto" w:fill="FFFFFF"/>
        </w:rPr>
        <w:t>World Economic Situation and Prospects 2018: Country Classifications</w:t>
      </w:r>
      <w:r w:rsidRPr="00070E38">
        <w:rPr>
          <w:rFonts w:eastAsia="Times New Roman"/>
          <w:color w:val="323232"/>
          <w:shd w:val="clear" w:color="auto" w:fill="FFFFFF"/>
        </w:rPr>
        <w:t xml:space="preserve">. PDF. United </w:t>
      </w:r>
    </w:p>
    <w:p w14:paraId="540C02D4" w14:textId="77777777" w:rsidR="00151286" w:rsidRPr="00070E38" w:rsidRDefault="00151286" w:rsidP="00151286">
      <w:pPr>
        <w:spacing w:line="360" w:lineRule="auto"/>
        <w:ind w:firstLine="720"/>
        <w:rPr>
          <w:rFonts w:eastAsia="Times New Roman"/>
        </w:rPr>
      </w:pPr>
      <w:r w:rsidRPr="00070E38">
        <w:rPr>
          <w:rFonts w:eastAsia="Times New Roman"/>
          <w:color w:val="323232"/>
          <w:shd w:val="clear" w:color="auto" w:fill="FFFFFF"/>
        </w:rPr>
        <w:t xml:space="preserve">Nations, 2018, 142. </w:t>
      </w:r>
    </w:p>
    <w:p w14:paraId="3FF43599" w14:textId="77777777" w:rsidR="00151286" w:rsidRPr="00070E38" w:rsidRDefault="00151286" w:rsidP="00151286">
      <w:pPr>
        <w:spacing w:line="360" w:lineRule="auto"/>
        <w:ind w:left="720"/>
        <w:rPr>
          <w:rFonts w:eastAsia="Times New Roman"/>
          <w:color w:val="333333"/>
        </w:rPr>
      </w:pPr>
    </w:p>
    <w:p w14:paraId="185385C7" w14:textId="2227A1F4" w:rsidR="005D43ED" w:rsidRPr="00070E38" w:rsidRDefault="005D43ED" w:rsidP="00151286">
      <w:pPr>
        <w:spacing w:before="100" w:beforeAutospacing="1" w:after="100" w:afterAutospacing="1" w:line="360" w:lineRule="auto"/>
        <w:ind w:firstLine="720"/>
        <w:rPr>
          <w:rFonts w:eastAsia="Times New Roman"/>
          <w:color w:val="333333"/>
        </w:rPr>
      </w:pPr>
    </w:p>
    <w:p w14:paraId="03D08083" w14:textId="77777777" w:rsidR="005D43ED" w:rsidRPr="00070E38" w:rsidRDefault="005D43ED" w:rsidP="00151286">
      <w:pPr>
        <w:pStyle w:val="ListParagraph"/>
        <w:spacing w:line="360" w:lineRule="auto"/>
        <w:rPr>
          <w:rFonts w:eastAsia="Times New Roman"/>
          <w:color w:val="000000"/>
        </w:rPr>
      </w:pPr>
    </w:p>
    <w:p w14:paraId="425D8357" w14:textId="77777777" w:rsidR="005D43ED" w:rsidRPr="00070E38" w:rsidRDefault="005D43ED" w:rsidP="00151286">
      <w:pPr>
        <w:spacing w:line="360" w:lineRule="auto"/>
        <w:rPr>
          <w:b/>
        </w:rPr>
      </w:pPr>
    </w:p>
    <w:sectPr w:rsidR="005D43ED" w:rsidRPr="00070E38" w:rsidSect="00BB1580">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1EC8C" w14:textId="77777777" w:rsidR="00FF3795" w:rsidRDefault="00FF3795" w:rsidP="00CC0AFF">
      <w:r>
        <w:separator/>
      </w:r>
    </w:p>
  </w:endnote>
  <w:endnote w:type="continuationSeparator" w:id="0">
    <w:p w14:paraId="29492DC6" w14:textId="77777777" w:rsidR="00FF3795" w:rsidRDefault="00FF3795" w:rsidP="00CC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E059B" w14:textId="77777777" w:rsidR="00FF3795" w:rsidRDefault="00FF3795" w:rsidP="00CC0AFF">
      <w:r>
        <w:separator/>
      </w:r>
    </w:p>
  </w:footnote>
  <w:footnote w:type="continuationSeparator" w:id="0">
    <w:p w14:paraId="45B0C2E8" w14:textId="77777777" w:rsidR="00FF3795" w:rsidRDefault="00FF3795" w:rsidP="00CC0AFF">
      <w:r>
        <w:continuationSeparator/>
      </w:r>
    </w:p>
  </w:footnote>
  <w:footnote w:id="1">
    <w:p w14:paraId="30C969F0" w14:textId="4B659F7A" w:rsidR="00F2151E" w:rsidRPr="00070E38" w:rsidRDefault="00F2151E" w:rsidP="00070E38">
      <w:pPr>
        <w:pStyle w:val="ListParagraph"/>
        <w:numPr>
          <w:ilvl w:val="0"/>
          <w:numId w:val="5"/>
        </w:numPr>
        <w:spacing w:before="60" w:after="60"/>
        <w:rPr>
          <w:rFonts w:eastAsia="Times New Roman"/>
          <w:sz w:val="20"/>
          <w:szCs w:val="20"/>
        </w:rPr>
      </w:pPr>
      <w:r w:rsidRPr="00070E38">
        <w:rPr>
          <w:rFonts w:eastAsia="Times New Roman"/>
          <w:i/>
          <w:iCs/>
          <w:color w:val="323232"/>
          <w:sz w:val="20"/>
          <w:szCs w:val="20"/>
          <w:shd w:val="clear" w:color="auto" w:fill="FFFFFF"/>
        </w:rPr>
        <w:t>World Economic Situation and Prospects 2018: Country Classifications</w:t>
      </w:r>
      <w:r w:rsidR="003D5BFF" w:rsidRPr="00070E38">
        <w:rPr>
          <w:rFonts w:eastAsia="Times New Roman"/>
          <w:color w:val="323232"/>
          <w:sz w:val="20"/>
          <w:szCs w:val="20"/>
          <w:shd w:val="clear" w:color="auto" w:fill="FFFFFF"/>
        </w:rPr>
        <w:t xml:space="preserve">. PDF. United </w:t>
      </w:r>
      <w:r w:rsidRPr="00070E38">
        <w:rPr>
          <w:rFonts w:eastAsia="Times New Roman"/>
          <w:color w:val="323232"/>
          <w:sz w:val="20"/>
          <w:szCs w:val="20"/>
          <w:shd w:val="clear" w:color="auto" w:fill="FFFFFF"/>
        </w:rPr>
        <w:t xml:space="preserve">Nations (2018): 142. </w:t>
      </w:r>
    </w:p>
  </w:footnote>
  <w:footnote w:id="2">
    <w:p w14:paraId="70C7DD16" w14:textId="6EDACAE9" w:rsidR="00F2151E" w:rsidRPr="00070E38" w:rsidRDefault="00F2151E" w:rsidP="00070E38">
      <w:pPr>
        <w:pStyle w:val="ListParagraph"/>
        <w:numPr>
          <w:ilvl w:val="0"/>
          <w:numId w:val="5"/>
        </w:numPr>
        <w:spacing w:before="60" w:after="60"/>
        <w:rPr>
          <w:rFonts w:eastAsia="Times New Roman"/>
          <w:sz w:val="20"/>
          <w:szCs w:val="20"/>
        </w:rPr>
      </w:pPr>
      <w:r w:rsidRPr="00070E38">
        <w:rPr>
          <w:rFonts w:eastAsia="Times New Roman"/>
          <w:color w:val="323232"/>
          <w:sz w:val="20"/>
          <w:szCs w:val="20"/>
          <w:shd w:val="clear" w:color="auto" w:fill="FFFFFF"/>
        </w:rPr>
        <w:t>Laxminarayan, Ramanan, and Ranjit Roy Chaudhury. "Antibiotic Resistance in India:</w:t>
      </w:r>
      <w:r w:rsidR="006F2B11" w:rsidRPr="00070E38">
        <w:rPr>
          <w:rFonts w:eastAsia="Times New Roman"/>
          <w:color w:val="323232"/>
          <w:sz w:val="20"/>
          <w:szCs w:val="20"/>
          <w:shd w:val="clear" w:color="auto" w:fill="FFFFFF"/>
        </w:rPr>
        <w:t xml:space="preserve"> </w:t>
      </w:r>
      <w:r w:rsidRPr="00070E38">
        <w:rPr>
          <w:rFonts w:eastAsia="Times New Roman"/>
          <w:color w:val="323232"/>
          <w:sz w:val="20"/>
          <w:szCs w:val="20"/>
          <w:shd w:val="clear" w:color="auto" w:fill="FFFFFF"/>
        </w:rPr>
        <w:t>Drivers and Opportunities for Action."</w:t>
      </w:r>
      <w:r w:rsidRPr="00070E38">
        <w:rPr>
          <w:rStyle w:val="apple-converted-space"/>
          <w:rFonts w:eastAsia="Times New Roman"/>
          <w:color w:val="323232"/>
          <w:sz w:val="20"/>
          <w:szCs w:val="20"/>
          <w:shd w:val="clear" w:color="auto" w:fill="FFFFFF"/>
        </w:rPr>
        <w:t> </w:t>
      </w:r>
      <w:r w:rsidRPr="00070E38">
        <w:rPr>
          <w:rFonts w:eastAsia="Times New Roman"/>
          <w:i/>
          <w:iCs/>
          <w:color w:val="323232"/>
          <w:sz w:val="20"/>
          <w:szCs w:val="20"/>
          <w:shd w:val="clear" w:color="auto" w:fill="FFFFFF"/>
        </w:rPr>
        <w:t xml:space="preserve">PLOS Medicine </w:t>
      </w:r>
      <w:r w:rsidRPr="00070E38">
        <w:rPr>
          <w:rFonts w:eastAsia="Times New Roman"/>
          <w:color w:val="323232"/>
          <w:sz w:val="20"/>
          <w:szCs w:val="20"/>
          <w:shd w:val="clear" w:color="auto" w:fill="FFFFFF"/>
        </w:rPr>
        <w:t>13, no. 3 (March 02, 2016): 1. doi:10.1371/journal.pmed.1001974. (accessed December 4, 2018).</w:t>
      </w:r>
    </w:p>
    <w:p w14:paraId="1FCFA0ED" w14:textId="0BB8B348" w:rsidR="00F2151E" w:rsidRPr="00070E38" w:rsidRDefault="00F2151E" w:rsidP="00070E38">
      <w:pPr>
        <w:pStyle w:val="FootnoteText"/>
        <w:spacing w:before="60" w:after="60"/>
        <w:rPr>
          <w:sz w:val="20"/>
          <w:szCs w:val="20"/>
        </w:rPr>
      </w:pPr>
    </w:p>
  </w:footnote>
  <w:footnote w:id="3">
    <w:p w14:paraId="4846FD6F" w14:textId="750B36B4" w:rsidR="00F2151E" w:rsidRPr="00070E38" w:rsidRDefault="00F2151E" w:rsidP="00070E38">
      <w:pPr>
        <w:pStyle w:val="ListParagraph"/>
        <w:numPr>
          <w:ilvl w:val="0"/>
          <w:numId w:val="5"/>
        </w:numPr>
        <w:spacing w:before="60" w:after="60"/>
        <w:rPr>
          <w:rFonts w:eastAsia="Times New Roman"/>
          <w:color w:val="000000"/>
          <w:sz w:val="20"/>
          <w:szCs w:val="20"/>
        </w:rPr>
      </w:pPr>
      <w:r w:rsidRPr="00070E38">
        <w:rPr>
          <w:rFonts w:eastAsia="Times New Roman"/>
          <w:color w:val="000000"/>
          <w:sz w:val="20"/>
          <w:szCs w:val="20"/>
        </w:rPr>
        <w:t>Ganguly, Nirmal et al. "Rationalizing antibiotic use to limit antibiotic resistance in India." </w:t>
      </w:r>
      <w:r w:rsidRPr="00070E38">
        <w:rPr>
          <w:rFonts w:eastAsia="Times New Roman"/>
          <w:i/>
          <w:iCs/>
          <w:color w:val="000000"/>
          <w:sz w:val="20"/>
          <w:szCs w:val="20"/>
        </w:rPr>
        <w:t>Indian Journal of Medical Research</w:t>
      </w:r>
      <w:r w:rsidRPr="00070E38">
        <w:rPr>
          <w:rFonts w:eastAsia="Times New Roman"/>
          <w:color w:val="000000"/>
          <w:sz w:val="20"/>
          <w:szCs w:val="20"/>
        </w:rPr>
        <w:t xml:space="preserve"> 134, no. 3 (September 11, 2011): 281. http://link.galegroup.com/apps/doc/A269431179/AONE?u=upitt_main&amp;sid=AONE&amp;xid=24f8e184. (accessed December 6, 2018). </w:t>
      </w:r>
    </w:p>
  </w:footnote>
  <w:footnote w:id="4">
    <w:p w14:paraId="60A4E2E5" w14:textId="34D307AD" w:rsidR="00F2151E" w:rsidRPr="00070E38" w:rsidRDefault="00F2151E" w:rsidP="00070E38">
      <w:pPr>
        <w:pStyle w:val="ListParagraph"/>
        <w:numPr>
          <w:ilvl w:val="0"/>
          <w:numId w:val="5"/>
        </w:numPr>
        <w:spacing w:before="60" w:after="60"/>
        <w:rPr>
          <w:rFonts w:eastAsia="Times New Roman"/>
          <w:sz w:val="20"/>
          <w:szCs w:val="20"/>
        </w:rPr>
      </w:pPr>
      <w:r w:rsidRPr="00070E38">
        <w:rPr>
          <w:rFonts w:eastAsia="Times New Roman"/>
          <w:color w:val="323232"/>
          <w:sz w:val="20"/>
          <w:szCs w:val="20"/>
          <w:shd w:val="clear" w:color="auto" w:fill="FFFFFF"/>
        </w:rPr>
        <w:t xml:space="preserve">Laxminarayan, "Antibiotic Resistance in India: Drivers and Opportunities for Action," 1.  </w:t>
      </w:r>
      <w:r w:rsidRPr="00070E38">
        <w:rPr>
          <w:rStyle w:val="apple-converted-space"/>
          <w:rFonts w:eastAsia="Times New Roman"/>
          <w:color w:val="323232"/>
          <w:sz w:val="20"/>
          <w:szCs w:val="20"/>
          <w:shd w:val="clear" w:color="auto" w:fill="FFFFFF"/>
        </w:rPr>
        <w:t> </w:t>
      </w:r>
    </w:p>
  </w:footnote>
  <w:footnote w:id="5">
    <w:p w14:paraId="62357A61" w14:textId="3AA52BCF" w:rsidR="00F2151E" w:rsidRPr="00070E38" w:rsidRDefault="00F2151E" w:rsidP="00070E38">
      <w:pPr>
        <w:pStyle w:val="ListParagraph"/>
        <w:numPr>
          <w:ilvl w:val="0"/>
          <w:numId w:val="5"/>
        </w:numPr>
        <w:spacing w:before="60" w:after="60"/>
        <w:rPr>
          <w:rFonts w:eastAsia="Times New Roman"/>
          <w:color w:val="000000"/>
          <w:sz w:val="20"/>
          <w:szCs w:val="20"/>
        </w:rPr>
      </w:pPr>
      <w:r w:rsidRPr="00070E38">
        <w:rPr>
          <w:sz w:val="20"/>
          <w:szCs w:val="20"/>
        </w:rPr>
        <w:t xml:space="preserve">Ganguly, </w:t>
      </w:r>
      <w:r w:rsidRPr="00070E38">
        <w:rPr>
          <w:rFonts w:eastAsia="Times New Roman"/>
          <w:color w:val="000000"/>
          <w:sz w:val="20"/>
          <w:szCs w:val="20"/>
        </w:rPr>
        <w:t>"Rationalizing antibiotic use to limit antibiotic resistance in India," 284.</w:t>
      </w:r>
    </w:p>
  </w:footnote>
  <w:footnote w:id="6">
    <w:p w14:paraId="102F0BCA" w14:textId="04E2C044" w:rsidR="00F2151E" w:rsidRPr="00070E38" w:rsidRDefault="00F2151E" w:rsidP="00070E38">
      <w:pPr>
        <w:pStyle w:val="FootnoteText"/>
        <w:numPr>
          <w:ilvl w:val="0"/>
          <w:numId w:val="5"/>
        </w:numPr>
        <w:spacing w:before="60" w:after="60"/>
        <w:rPr>
          <w:sz w:val="20"/>
          <w:szCs w:val="20"/>
        </w:rPr>
      </w:pPr>
      <w:r w:rsidRPr="00070E38">
        <w:rPr>
          <w:sz w:val="20"/>
          <w:szCs w:val="20"/>
        </w:rPr>
        <w:t>Ibid., 281.</w:t>
      </w:r>
    </w:p>
  </w:footnote>
  <w:footnote w:id="7">
    <w:p w14:paraId="7CF454AC" w14:textId="5A0D242F" w:rsidR="00F2151E" w:rsidRPr="00070E38" w:rsidRDefault="00F2151E" w:rsidP="00070E38">
      <w:pPr>
        <w:pStyle w:val="ListParagraph"/>
        <w:numPr>
          <w:ilvl w:val="0"/>
          <w:numId w:val="5"/>
        </w:numPr>
        <w:spacing w:before="60" w:after="60"/>
        <w:rPr>
          <w:rFonts w:eastAsia="Times New Roman"/>
          <w:color w:val="333333"/>
          <w:sz w:val="20"/>
          <w:szCs w:val="20"/>
        </w:rPr>
      </w:pPr>
      <w:r w:rsidRPr="00070E38">
        <w:rPr>
          <w:rFonts w:eastAsia="Times New Roman"/>
          <w:color w:val="333333"/>
          <w:sz w:val="20"/>
          <w:szCs w:val="20"/>
        </w:rPr>
        <w:t>Kakkar, Manish, Kamini Walia, Sirenda Vong, Pranab Chatterjee, and Anuj Sharma.  "Antibiotic Resistance and its Containment in India."</w:t>
      </w:r>
      <w:r w:rsidRPr="00070E38">
        <w:rPr>
          <w:rStyle w:val="apple-converted-space"/>
          <w:rFonts w:eastAsia="Times New Roman"/>
          <w:color w:val="333333"/>
          <w:sz w:val="20"/>
          <w:szCs w:val="20"/>
        </w:rPr>
        <w:t> </w:t>
      </w:r>
      <w:r w:rsidRPr="00070E38">
        <w:rPr>
          <w:rFonts w:eastAsia="Times New Roman"/>
          <w:i/>
          <w:iCs/>
          <w:color w:val="333333"/>
          <w:sz w:val="20"/>
          <w:szCs w:val="20"/>
        </w:rPr>
        <w:t>Bmj</w:t>
      </w:r>
      <w:r w:rsidRPr="00070E38">
        <w:rPr>
          <w:rStyle w:val="apple-converted-space"/>
          <w:rFonts w:eastAsia="Times New Roman"/>
          <w:color w:val="333333"/>
          <w:sz w:val="20"/>
          <w:szCs w:val="20"/>
        </w:rPr>
        <w:t> </w:t>
      </w:r>
      <w:r w:rsidRPr="00070E38">
        <w:rPr>
          <w:rFonts w:eastAsia="Times New Roman"/>
          <w:color w:val="333333"/>
          <w:sz w:val="20"/>
          <w:szCs w:val="20"/>
        </w:rPr>
        <w:t xml:space="preserve">358, (September 05, 2017): 25. </w:t>
      </w:r>
      <w:r w:rsidRPr="00070E38">
        <w:rPr>
          <w:rFonts w:eastAsia="Times New Roman"/>
          <w:color w:val="333333"/>
          <w:sz w:val="20"/>
          <w:szCs w:val="20"/>
          <w:shd w:val="clear" w:color="auto" w:fill="FFFFFF"/>
        </w:rPr>
        <w:t>doi:</w:t>
      </w:r>
      <w:r w:rsidRPr="00070E38">
        <w:rPr>
          <w:rStyle w:val="apple-converted-space"/>
          <w:rFonts w:eastAsia="Times New Roman"/>
          <w:color w:val="333333"/>
          <w:sz w:val="20"/>
          <w:szCs w:val="20"/>
          <w:shd w:val="clear" w:color="auto" w:fill="FFFFFF"/>
        </w:rPr>
        <w:t> </w:t>
      </w:r>
      <w:hyperlink r:id="rId1" w:history="1">
        <w:r w:rsidRPr="00070E38">
          <w:rPr>
            <w:rStyle w:val="Hyperlink"/>
            <w:rFonts w:eastAsia="Times New Roman"/>
            <w:color w:val="2A6EBB"/>
            <w:sz w:val="20"/>
            <w:szCs w:val="20"/>
            <w:u w:val="none"/>
            <w:bdr w:val="none" w:sz="0" w:space="0" w:color="auto" w:frame="1"/>
          </w:rPr>
          <w:t>https://doi.org/10.1136/bmj.j2687</w:t>
        </w:r>
      </w:hyperlink>
      <w:r w:rsidRPr="00070E38">
        <w:rPr>
          <w:rFonts w:eastAsia="Times New Roman"/>
          <w:sz w:val="20"/>
          <w:szCs w:val="20"/>
        </w:rPr>
        <w:t>. (accessed December 4, 2016)</w:t>
      </w:r>
      <w:r w:rsidR="003D5BFF" w:rsidRPr="00070E38">
        <w:rPr>
          <w:rFonts w:eastAsia="Times New Roman"/>
          <w:sz w:val="20"/>
          <w:szCs w:val="20"/>
        </w:rPr>
        <w:t>.</w:t>
      </w:r>
    </w:p>
    <w:p w14:paraId="334F58CE" w14:textId="7B971A49" w:rsidR="00F2151E" w:rsidRPr="00070E38" w:rsidRDefault="00F2151E" w:rsidP="00070E38">
      <w:pPr>
        <w:pStyle w:val="FootnoteText"/>
        <w:spacing w:before="60" w:after="60"/>
        <w:rPr>
          <w:sz w:val="20"/>
          <w:szCs w:val="20"/>
        </w:rPr>
      </w:pPr>
    </w:p>
  </w:footnote>
  <w:footnote w:id="8">
    <w:p w14:paraId="1F2F61F7" w14:textId="6415EECF" w:rsidR="00F2151E" w:rsidRPr="00070E38" w:rsidRDefault="00F2151E" w:rsidP="00070E38">
      <w:pPr>
        <w:pStyle w:val="ListParagraph"/>
        <w:numPr>
          <w:ilvl w:val="0"/>
          <w:numId w:val="5"/>
        </w:numPr>
        <w:spacing w:before="60" w:after="60"/>
        <w:rPr>
          <w:rFonts w:eastAsia="Times New Roman"/>
          <w:color w:val="333333"/>
          <w:sz w:val="20"/>
          <w:szCs w:val="20"/>
        </w:rPr>
      </w:pPr>
      <w:r w:rsidRPr="00070E38">
        <w:rPr>
          <w:rFonts w:eastAsia="Times New Roman"/>
          <w:color w:val="333333"/>
          <w:sz w:val="20"/>
          <w:szCs w:val="20"/>
        </w:rPr>
        <w:t>Ghafur, A., et al. "The Chennai Declaration: A Roadmap to Tackle the Challenge of Antimicrobial Resistance."</w:t>
      </w:r>
      <w:r w:rsidRPr="00070E38">
        <w:rPr>
          <w:rStyle w:val="apple-converted-space"/>
          <w:rFonts w:eastAsia="Times New Roman"/>
          <w:color w:val="333333"/>
          <w:sz w:val="20"/>
          <w:szCs w:val="20"/>
        </w:rPr>
        <w:t> </w:t>
      </w:r>
      <w:r w:rsidRPr="00070E38">
        <w:rPr>
          <w:rFonts w:eastAsia="Times New Roman"/>
          <w:i/>
          <w:iCs/>
          <w:color w:val="333333"/>
          <w:sz w:val="20"/>
          <w:szCs w:val="20"/>
        </w:rPr>
        <w:t>Indian Journal of Cancer</w:t>
      </w:r>
      <w:r w:rsidRPr="00070E38">
        <w:rPr>
          <w:rStyle w:val="apple-converted-space"/>
          <w:rFonts w:eastAsia="Times New Roman"/>
          <w:color w:val="333333"/>
          <w:sz w:val="20"/>
          <w:szCs w:val="20"/>
        </w:rPr>
        <w:t> </w:t>
      </w:r>
      <w:r w:rsidR="003D5BFF" w:rsidRPr="00070E38">
        <w:rPr>
          <w:rFonts w:eastAsia="Times New Roman"/>
          <w:color w:val="333333"/>
          <w:sz w:val="20"/>
          <w:szCs w:val="20"/>
        </w:rPr>
        <w:t xml:space="preserve">50, no. 1 (January-March, 2013): </w:t>
      </w:r>
      <w:r w:rsidR="002D534C" w:rsidRPr="00070E38">
        <w:rPr>
          <w:rFonts w:eastAsia="Times New Roman"/>
          <w:color w:val="333333"/>
          <w:sz w:val="20"/>
          <w:szCs w:val="20"/>
        </w:rPr>
        <w:t xml:space="preserve">71-73. </w:t>
      </w:r>
      <w:r w:rsidRPr="00070E38">
        <w:rPr>
          <w:rFonts w:eastAsia="Times New Roman"/>
          <w:color w:val="333333"/>
          <w:sz w:val="20"/>
          <w:szCs w:val="20"/>
        </w:rPr>
        <w:t xml:space="preserve">doi: </w:t>
      </w:r>
      <w:r w:rsidRPr="00070E38">
        <w:rPr>
          <w:rFonts w:eastAsia="Times New Roman"/>
          <w:color w:val="1F1F3F"/>
          <w:sz w:val="20"/>
          <w:szCs w:val="20"/>
          <w:shd w:val="clear" w:color="auto" w:fill="FFFFFF"/>
        </w:rPr>
        <w:t>10.4103/0019-509X.104065</w:t>
      </w:r>
      <w:r w:rsidRPr="00070E38">
        <w:rPr>
          <w:rFonts w:eastAsia="Times New Roman"/>
          <w:color w:val="333333"/>
          <w:sz w:val="20"/>
          <w:szCs w:val="20"/>
        </w:rPr>
        <w:t>71-</w:t>
      </w:r>
      <w:r w:rsidR="003D5BFF" w:rsidRPr="00070E38">
        <w:rPr>
          <w:rFonts w:eastAsia="Times New Roman"/>
          <w:color w:val="333333"/>
          <w:sz w:val="20"/>
          <w:szCs w:val="20"/>
        </w:rPr>
        <w:t>73. (accessed December 4, 2016).</w:t>
      </w:r>
      <w:r w:rsidRPr="00070E38">
        <w:rPr>
          <w:rFonts w:eastAsia="Times New Roman"/>
          <w:color w:val="333333"/>
          <w:sz w:val="20"/>
          <w:szCs w:val="20"/>
        </w:rPr>
        <w:t xml:space="preserve"> </w:t>
      </w:r>
    </w:p>
  </w:footnote>
  <w:footnote w:id="9">
    <w:p w14:paraId="699B2261" w14:textId="57E7AAEF" w:rsidR="003D5BFF" w:rsidRPr="00070E38" w:rsidRDefault="003D5BFF" w:rsidP="00070E38">
      <w:pPr>
        <w:pStyle w:val="NormalWeb"/>
        <w:numPr>
          <w:ilvl w:val="0"/>
          <w:numId w:val="5"/>
        </w:numPr>
        <w:spacing w:before="60" w:beforeAutospacing="0" w:after="60" w:afterAutospacing="0"/>
        <w:rPr>
          <w:color w:val="000000"/>
          <w:sz w:val="20"/>
          <w:szCs w:val="20"/>
        </w:rPr>
      </w:pPr>
      <w:r w:rsidRPr="00070E38">
        <w:rPr>
          <w:color w:val="000000"/>
          <w:sz w:val="20"/>
          <w:szCs w:val="20"/>
        </w:rPr>
        <w:t>Srivastava, R.K. “National Policy for Containment of Antimicrobial Resistance in India.” Ministry of Health &amp; Family Welfare, Government of India, 2011. https://mohfw.gov.in/sites/default/files/3203490350abpolicy%20%281%29.pdf</w:t>
      </w:r>
      <w:r w:rsidR="002D534C" w:rsidRPr="00070E38">
        <w:rPr>
          <w:color w:val="000000"/>
          <w:sz w:val="20"/>
          <w:szCs w:val="20"/>
        </w:rPr>
        <w:t>.</w:t>
      </w:r>
      <w:r w:rsidRPr="00070E38">
        <w:rPr>
          <w:color w:val="000000"/>
          <w:sz w:val="20"/>
          <w:szCs w:val="20"/>
        </w:rPr>
        <w:t xml:space="preserve"> </w:t>
      </w:r>
      <w:r w:rsidRPr="00070E38">
        <w:rPr>
          <w:rFonts w:eastAsia="Times New Roman"/>
          <w:color w:val="333333"/>
          <w:sz w:val="20"/>
          <w:szCs w:val="20"/>
        </w:rPr>
        <w:t>(accessed December 4, 2016).</w:t>
      </w:r>
    </w:p>
  </w:footnote>
  <w:footnote w:id="10">
    <w:p w14:paraId="30D76DD5" w14:textId="53CC57B6" w:rsidR="002D534C" w:rsidRPr="00070E38" w:rsidRDefault="002D534C" w:rsidP="00070E38">
      <w:pPr>
        <w:pStyle w:val="ListParagraph"/>
        <w:numPr>
          <w:ilvl w:val="0"/>
          <w:numId w:val="5"/>
        </w:numPr>
        <w:spacing w:before="60" w:after="60"/>
        <w:rPr>
          <w:rFonts w:eastAsia="Times New Roman"/>
          <w:sz w:val="20"/>
          <w:szCs w:val="20"/>
        </w:rPr>
      </w:pPr>
      <w:r w:rsidRPr="00070E38">
        <w:rPr>
          <w:rFonts w:eastAsia="Times New Roman"/>
          <w:color w:val="333333"/>
          <w:sz w:val="20"/>
          <w:szCs w:val="20"/>
        </w:rPr>
        <w:t>Ghafur, Abdul. "Perseverance, Persistence, and the Chennai Declaration."</w:t>
      </w:r>
      <w:r w:rsidRPr="00070E38">
        <w:rPr>
          <w:rStyle w:val="apple-converted-space"/>
          <w:rFonts w:eastAsia="Times New Roman"/>
          <w:color w:val="333333"/>
          <w:sz w:val="20"/>
          <w:szCs w:val="20"/>
        </w:rPr>
        <w:t> </w:t>
      </w:r>
      <w:r w:rsidRPr="00070E38">
        <w:rPr>
          <w:rFonts w:eastAsia="Times New Roman"/>
          <w:i/>
          <w:iCs/>
          <w:color w:val="333333"/>
          <w:sz w:val="20"/>
          <w:szCs w:val="20"/>
        </w:rPr>
        <w:t xml:space="preserve">Lancet Infectious Diseases, </w:t>
      </w:r>
      <w:r w:rsidRPr="00070E38">
        <w:rPr>
          <w:rFonts w:eastAsia="Times New Roman"/>
          <w:color w:val="333333"/>
          <w:sz w:val="20"/>
          <w:szCs w:val="20"/>
        </w:rPr>
        <w:t xml:space="preserve">13, no. 12 (December, </w:t>
      </w:r>
      <w:r w:rsidRPr="00070E38">
        <w:rPr>
          <w:rFonts w:eastAsia="Times New Roman"/>
          <w:color w:val="333333"/>
          <w:sz w:val="20"/>
          <w:szCs w:val="20"/>
        </w:rPr>
        <w:t>2013): 1007</w:t>
      </w:r>
      <w:r w:rsidRPr="00070E38">
        <w:rPr>
          <w:rFonts w:eastAsia="Times New Roman"/>
          <w:color w:val="333333"/>
          <w:sz w:val="20"/>
          <w:szCs w:val="20"/>
        </w:rPr>
        <w:t xml:space="preserve"> doi:</w:t>
      </w:r>
      <w:r w:rsidRPr="00070E38">
        <w:rPr>
          <w:rFonts w:eastAsia="Times New Roman"/>
          <w:sz w:val="20"/>
          <w:szCs w:val="20"/>
        </w:rPr>
        <w:t xml:space="preserve"> </w:t>
      </w:r>
      <w:hyperlink r:id="rId2" w:tgtFrame="_blank" w:tooltip="Persistent link using digital object identifier" w:history="1">
        <w:r w:rsidRPr="00070E38">
          <w:rPr>
            <w:rStyle w:val="Hyperlink"/>
            <w:rFonts w:eastAsia="Times New Roman"/>
            <w:color w:val="007398"/>
            <w:sz w:val="20"/>
            <w:szCs w:val="20"/>
          </w:rPr>
          <w:t>https://doi.org/10.1016/S1473-3099(13)70314-1</w:t>
        </w:r>
      </w:hyperlink>
    </w:p>
    <w:p w14:paraId="539D4B09" w14:textId="01D88ED7" w:rsidR="002D534C" w:rsidRPr="00070E38" w:rsidRDefault="002D534C" w:rsidP="00070E38">
      <w:pPr>
        <w:pStyle w:val="NormalWeb"/>
        <w:spacing w:before="60" w:beforeAutospacing="0" w:after="60" w:afterAutospacing="0"/>
        <w:ind w:firstLine="360"/>
        <w:rPr>
          <w:color w:val="000000"/>
          <w:sz w:val="20"/>
          <w:szCs w:val="20"/>
        </w:rPr>
      </w:pPr>
      <w:r w:rsidRPr="00070E38">
        <w:rPr>
          <w:rFonts w:eastAsia="Times New Roman"/>
          <w:color w:val="333333"/>
          <w:sz w:val="20"/>
          <w:szCs w:val="20"/>
        </w:rPr>
        <w:t>(accessed December 4, 2018</w:t>
      </w:r>
      <w:r w:rsidRPr="00070E38">
        <w:rPr>
          <w:rFonts w:eastAsia="Times New Roman"/>
          <w:color w:val="333333"/>
          <w:sz w:val="20"/>
          <w:szCs w:val="20"/>
        </w:rPr>
        <w:t>).</w:t>
      </w:r>
    </w:p>
    <w:p w14:paraId="0DB4C1C0" w14:textId="58596027" w:rsidR="002D534C" w:rsidRPr="00070E38" w:rsidRDefault="002D534C" w:rsidP="00070E38">
      <w:pPr>
        <w:pStyle w:val="FootnoteText"/>
        <w:spacing w:before="60" w:after="60"/>
        <w:rPr>
          <w:sz w:val="20"/>
          <w:szCs w:val="20"/>
        </w:rPr>
      </w:pPr>
    </w:p>
  </w:footnote>
  <w:footnote w:id="11">
    <w:p w14:paraId="23DD0797" w14:textId="671515B7" w:rsidR="002D534C" w:rsidRPr="00070E38" w:rsidRDefault="002D534C" w:rsidP="00070E38">
      <w:pPr>
        <w:pStyle w:val="ListParagraph"/>
        <w:numPr>
          <w:ilvl w:val="0"/>
          <w:numId w:val="5"/>
        </w:numPr>
        <w:spacing w:before="60" w:after="60"/>
        <w:rPr>
          <w:rFonts w:eastAsia="Times New Roman"/>
          <w:color w:val="333333"/>
          <w:sz w:val="20"/>
          <w:szCs w:val="20"/>
          <w:shd w:val="clear" w:color="auto" w:fill="FFFFFF"/>
        </w:rPr>
      </w:pPr>
      <w:r w:rsidRPr="00070E38">
        <w:rPr>
          <w:rFonts w:eastAsia="Times New Roman"/>
          <w:color w:val="333333"/>
          <w:sz w:val="20"/>
          <w:szCs w:val="20"/>
          <w:shd w:val="clear" w:color="auto" w:fill="FFFFFF"/>
        </w:rPr>
        <w:t>“National Action Plan on Antimicrobial Resistance.” Minis</w:t>
      </w:r>
      <w:r w:rsidR="00EC6764" w:rsidRPr="00070E38">
        <w:rPr>
          <w:rFonts w:eastAsia="Times New Roman"/>
          <w:color w:val="333333"/>
          <w:sz w:val="20"/>
          <w:szCs w:val="20"/>
          <w:shd w:val="clear" w:color="auto" w:fill="FFFFFF"/>
        </w:rPr>
        <w:t xml:space="preserve">try of Health &amp; Family Welfare, </w:t>
      </w:r>
      <w:r w:rsidRPr="00070E38">
        <w:rPr>
          <w:rFonts w:eastAsia="Times New Roman"/>
          <w:color w:val="333333"/>
          <w:sz w:val="20"/>
          <w:szCs w:val="20"/>
          <w:shd w:val="clear" w:color="auto" w:fill="FFFFFF"/>
        </w:rPr>
        <w:t>Government of India, April, 2017.</w:t>
      </w:r>
      <w:r w:rsidR="00EC6764" w:rsidRPr="00070E38">
        <w:rPr>
          <w:rFonts w:eastAsia="Times New Roman"/>
          <w:color w:val="333333"/>
          <w:sz w:val="20"/>
          <w:szCs w:val="20"/>
          <w:shd w:val="clear" w:color="auto" w:fill="FFFFFF"/>
        </w:rPr>
        <w:t xml:space="preserve"> </w:t>
      </w:r>
      <w:hyperlink r:id="rId3" w:history="1">
        <w:r w:rsidRPr="00070E38">
          <w:rPr>
            <w:rStyle w:val="Hyperlink"/>
            <w:rFonts w:eastAsia="Times New Roman"/>
            <w:sz w:val="20"/>
            <w:szCs w:val="20"/>
            <w:shd w:val="clear" w:color="auto" w:fill="FFFFFF"/>
          </w:rPr>
          <w:t>http://www.searo.who.int/india/topics/antimicrobial_resistance/nap_amr.pdf</w:t>
        </w:r>
      </w:hyperlink>
      <w:r w:rsidRPr="00070E38">
        <w:rPr>
          <w:rFonts w:eastAsia="Times New Roman"/>
          <w:color w:val="333333"/>
          <w:sz w:val="20"/>
          <w:szCs w:val="20"/>
          <w:shd w:val="clear" w:color="auto" w:fill="FFFFFF"/>
        </w:rPr>
        <w:t xml:space="preserve">. (accessed December 4. 2016): </w:t>
      </w:r>
      <w:r w:rsidR="00EC6764" w:rsidRPr="00070E38">
        <w:rPr>
          <w:rFonts w:eastAsia="Times New Roman"/>
          <w:color w:val="333333"/>
          <w:sz w:val="20"/>
          <w:szCs w:val="20"/>
          <w:shd w:val="clear" w:color="auto" w:fill="FFFFFF"/>
        </w:rPr>
        <w:t>4.</w:t>
      </w:r>
    </w:p>
  </w:footnote>
  <w:footnote w:id="12">
    <w:p w14:paraId="733D3BEE" w14:textId="01CF7D83" w:rsidR="00EC6764" w:rsidRPr="00070E38" w:rsidRDefault="00EC6764" w:rsidP="00070E38">
      <w:pPr>
        <w:pStyle w:val="FootnoteText"/>
        <w:numPr>
          <w:ilvl w:val="0"/>
          <w:numId w:val="5"/>
        </w:numPr>
        <w:spacing w:before="60" w:after="60"/>
        <w:rPr>
          <w:sz w:val="20"/>
          <w:szCs w:val="20"/>
        </w:rPr>
      </w:pPr>
      <w:r w:rsidRPr="00070E38">
        <w:rPr>
          <w:sz w:val="20"/>
          <w:szCs w:val="20"/>
        </w:rPr>
        <w:t>Ibid., 7.</w:t>
      </w:r>
    </w:p>
  </w:footnote>
  <w:footnote w:id="13">
    <w:p w14:paraId="0F7CADFD" w14:textId="60BBE7CA" w:rsidR="00EC6764" w:rsidRPr="00070E38" w:rsidRDefault="00EC6764" w:rsidP="00070E38">
      <w:pPr>
        <w:pStyle w:val="ListParagraph"/>
        <w:numPr>
          <w:ilvl w:val="0"/>
          <w:numId w:val="5"/>
        </w:numPr>
        <w:spacing w:before="60" w:after="60"/>
        <w:rPr>
          <w:rFonts w:eastAsia="Times New Roman"/>
          <w:sz w:val="20"/>
          <w:szCs w:val="20"/>
        </w:rPr>
      </w:pPr>
      <w:r w:rsidRPr="00070E38">
        <w:rPr>
          <w:rFonts w:eastAsia="Times New Roman"/>
          <w:color w:val="323232"/>
          <w:sz w:val="20"/>
          <w:szCs w:val="20"/>
          <w:shd w:val="clear" w:color="auto" w:fill="FFFFFF"/>
        </w:rPr>
        <w:t>Laxminarayan, "Antibiotic Resistance in India: Drivers an</w:t>
      </w:r>
      <w:r w:rsidRPr="00070E38">
        <w:rPr>
          <w:rFonts w:eastAsia="Times New Roman"/>
          <w:color w:val="323232"/>
          <w:sz w:val="20"/>
          <w:szCs w:val="20"/>
          <w:shd w:val="clear" w:color="auto" w:fill="FFFFFF"/>
        </w:rPr>
        <w:t>d Opportunities for Action," 4</w:t>
      </w:r>
      <w:r w:rsidRPr="00070E38">
        <w:rPr>
          <w:rFonts w:eastAsia="Times New Roman"/>
          <w:color w:val="323232"/>
          <w:sz w:val="20"/>
          <w:szCs w:val="20"/>
          <w:shd w:val="clear" w:color="auto" w:fill="FFFFFF"/>
        </w:rPr>
        <w:t xml:space="preserve">.  </w:t>
      </w:r>
      <w:r w:rsidRPr="00070E38">
        <w:rPr>
          <w:rStyle w:val="apple-converted-space"/>
          <w:rFonts w:eastAsia="Times New Roman"/>
          <w:color w:val="323232"/>
          <w:sz w:val="20"/>
          <w:szCs w:val="20"/>
          <w:shd w:val="clear" w:color="auto" w:fill="FFFFFF"/>
        </w:rPr>
        <w:t> </w:t>
      </w:r>
    </w:p>
  </w:footnote>
  <w:footnote w:id="14">
    <w:p w14:paraId="3B7724B9" w14:textId="78B53A06" w:rsidR="00D047D0" w:rsidRPr="00070E38" w:rsidRDefault="00D047D0" w:rsidP="00070E38">
      <w:pPr>
        <w:pStyle w:val="ListParagraph"/>
        <w:numPr>
          <w:ilvl w:val="0"/>
          <w:numId w:val="5"/>
        </w:numPr>
        <w:spacing w:before="60" w:after="60"/>
        <w:rPr>
          <w:rFonts w:eastAsia="Times New Roman"/>
          <w:sz w:val="20"/>
          <w:szCs w:val="20"/>
        </w:rPr>
      </w:pPr>
      <w:r w:rsidRPr="00070E38">
        <w:rPr>
          <w:rFonts w:eastAsia="Times New Roman"/>
          <w:color w:val="333333"/>
          <w:sz w:val="20"/>
          <w:szCs w:val="20"/>
        </w:rPr>
        <w:t xml:space="preserve">Shet, Anita, </w:t>
      </w:r>
      <w:r w:rsidRPr="00070E38">
        <w:rPr>
          <w:rFonts w:eastAsia="Times New Roman"/>
          <w:color w:val="333333"/>
          <w:sz w:val="20"/>
          <w:szCs w:val="20"/>
        </w:rPr>
        <w:t xml:space="preserve">et al. </w:t>
      </w:r>
      <w:r w:rsidRPr="00070E38">
        <w:rPr>
          <w:rFonts w:eastAsia="Times New Roman"/>
          <w:color w:val="333333"/>
          <w:sz w:val="20"/>
          <w:szCs w:val="20"/>
        </w:rPr>
        <w:t>"Pharmacy-Based Dispensing of Antimicrobial Agents without Prescription in India: Appropriateness and Cost Burden in the Private Sector."</w:t>
      </w:r>
      <w:r w:rsidRPr="00070E38">
        <w:rPr>
          <w:rStyle w:val="apple-converted-space"/>
          <w:rFonts w:eastAsia="Times New Roman"/>
          <w:color w:val="333333"/>
          <w:sz w:val="20"/>
          <w:szCs w:val="20"/>
        </w:rPr>
        <w:t> </w:t>
      </w:r>
      <w:r w:rsidRPr="00070E38">
        <w:rPr>
          <w:rFonts w:eastAsia="Times New Roman"/>
          <w:i/>
          <w:iCs/>
          <w:color w:val="333333"/>
          <w:sz w:val="20"/>
          <w:szCs w:val="20"/>
        </w:rPr>
        <w:t>Antimicrobial Resistance and Infection Control</w:t>
      </w:r>
      <w:r w:rsidRPr="00070E38">
        <w:rPr>
          <w:rStyle w:val="apple-converted-space"/>
          <w:rFonts w:eastAsia="Times New Roman"/>
          <w:color w:val="333333"/>
          <w:sz w:val="20"/>
          <w:szCs w:val="20"/>
        </w:rPr>
        <w:t> </w:t>
      </w:r>
      <w:r w:rsidRPr="00070E38">
        <w:rPr>
          <w:rFonts w:eastAsia="Times New Roman"/>
          <w:color w:val="333333"/>
          <w:sz w:val="20"/>
          <w:szCs w:val="20"/>
        </w:rPr>
        <w:t xml:space="preserve">4, no. 1 (December 11, </w:t>
      </w:r>
      <w:r w:rsidRPr="00070E38">
        <w:rPr>
          <w:rFonts w:eastAsia="Times New Roman"/>
          <w:color w:val="333333"/>
          <w:sz w:val="20"/>
          <w:szCs w:val="20"/>
        </w:rPr>
        <w:t>2015): 6,</w:t>
      </w:r>
      <w:r w:rsidRPr="00070E38">
        <w:rPr>
          <w:rFonts w:eastAsia="Times New Roman"/>
          <w:color w:val="333333"/>
          <w:sz w:val="20"/>
          <w:szCs w:val="20"/>
        </w:rPr>
        <w:t xml:space="preserve"> doi:</w:t>
      </w:r>
      <w:r w:rsidRPr="00070E38">
        <w:rPr>
          <w:rFonts w:eastAsia="Times New Roman"/>
          <w:sz w:val="20"/>
          <w:szCs w:val="20"/>
        </w:rPr>
        <w:t xml:space="preserve"> </w:t>
      </w:r>
      <w:hyperlink r:id="rId4" w:tgtFrame="_blank" w:history="1">
        <w:r w:rsidRPr="00070E38">
          <w:rPr>
            <w:rStyle w:val="Hyperlink"/>
            <w:rFonts w:eastAsia="Times New Roman"/>
            <w:color w:val="005F9F"/>
            <w:sz w:val="20"/>
            <w:szCs w:val="20"/>
          </w:rPr>
          <w:t>http://dx.doi.org/10.1186/s13756-015-0098-8</w:t>
        </w:r>
      </w:hyperlink>
      <w:r w:rsidRPr="00070E38">
        <w:rPr>
          <w:rFonts w:eastAsia="Times New Roman"/>
          <w:sz w:val="20"/>
          <w:szCs w:val="20"/>
        </w:rPr>
        <w:t>. (accessed December 4, 2018</w:t>
      </w:r>
      <w:r w:rsidRPr="00070E38">
        <w:rPr>
          <w:rFonts w:eastAsia="Times New Roman"/>
          <w:sz w:val="20"/>
          <w:szCs w:val="20"/>
        </w:rPr>
        <w:t>).</w:t>
      </w:r>
      <w:r w:rsidRPr="00070E38">
        <w:rPr>
          <w:rFonts w:eastAsia="Times New Roman"/>
          <w:sz w:val="20"/>
          <w:szCs w:val="20"/>
        </w:rPr>
        <w:t xml:space="preserve"> </w:t>
      </w:r>
    </w:p>
  </w:footnote>
  <w:footnote w:id="15">
    <w:p w14:paraId="42384935" w14:textId="2BDFB293" w:rsidR="00EC6764" w:rsidRPr="00070E38" w:rsidRDefault="00EC6764" w:rsidP="00070E38">
      <w:pPr>
        <w:pStyle w:val="ListParagraph"/>
        <w:numPr>
          <w:ilvl w:val="0"/>
          <w:numId w:val="5"/>
        </w:numPr>
        <w:spacing w:before="60" w:after="60"/>
        <w:rPr>
          <w:rFonts w:eastAsia="Times New Roman"/>
          <w:sz w:val="20"/>
          <w:szCs w:val="20"/>
        </w:rPr>
      </w:pPr>
      <w:r w:rsidRPr="00070E38">
        <w:rPr>
          <w:rFonts w:eastAsia="Times New Roman"/>
          <w:color w:val="323232"/>
          <w:sz w:val="20"/>
          <w:szCs w:val="20"/>
          <w:shd w:val="clear" w:color="auto" w:fill="FFFFFF"/>
        </w:rPr>
        <w:t xml:space="preserve">Ibid., 4-5. </w:t>
      </w:r>
    </w:p>
  </w:footnote>
  <w:footnote w:id="16">
    <w:p w14:paraId="420CCCE3" w14:textId="653FE549" w:rsidR="00EC6764" w:rsidRPr="00070E38" w:rsidRDefault="00EC6764" w:rsidP="00070E38">
      <w:pPr>
        <w:pStyle w:val="FootnoteText"/>
        <w:numPr>
          <w:ilvl w:val="0"/>
          <w:numId w:val="5"/>
        </w:numPr>
        <w:spacing w:before="60" w:after="60"/>
        <w:rPr>
          <w:sz w:val="20"/>
          <w:szCs w:val="20"/>
        </w:rPr>
      </w:pPr>
      <w:r w:rsidRPr="00070E38">
        <w:rPr>
          <w:rFonts w:eastAsia="Times New Roman"/>
          <w:color w:val="333333"/>
          <w:sz w:val="20"/>
          <w:szCs w:val="20"/>
        </w:rPr>
        <w:t>Ghafur, "Perseverance, Persisten</w:t>
      </w:r>
      <w:r w:rsidRPr="00070E38">
        <w:rPr>
          <w:rFonts w:eastAsia="Times New Roman"/>
          <w:color w:val="333333"/>
          <w:sz w:val="20"/>
          <w:szCs w:val="20"/>
        </w:rPr>
        <w:t>ce, and the Chennai Declaration,</w:t>
      </w:r>
      <w:r w:rsidRPr="00070E38">
        <w:rPr>
          <w:rFonts w:eastAsia="Times New Roman"/>
          <w:color w:val="333333"/>
          <w:sz w:val="20"/>
          <w:szCs w:val="20"/>
        </w:rPr>
        <w:t>"</w:t>
      </w:r>
      <w:r w:rsidRPr="00070E38">
        <w:rPr>
          <w:rStyle w:val="apple-converted-space"/>
          <w:rFonts w:eastAsia="Times New Roman"/>
          <w:color w:val="333333"/>
          <w:sz w:val="20"/>
          <w:szCs w:val="20"/>
        </w:rPr>
        <w:t> </w:t>
      </w:r>
      <w:r w:rsidRPr="00070E38">
        <w:rPr>
          <w:rStyle w:val="apple-converted-space"/>
          <w:rFonts w:eastAsia="Times New Roman"/>
          <w:color w:val="333333"/>
          <w:sz w:val="20"/>
          <w:szCs w:val="20"/>
        </w:rPr>
        <w:t xml:space="preserve">1007. </w:t>
      </w:r>
    </w:p>
  </w:footnote>
  <w:footnote w:id="17">
    <w:p w14:paraId="4322E746" w14:textId="5F5804C5" w:rsidR="00EC6764" w:rsidRPr="00070E38" w:rsidRDefault="00EC6764" w:rsidP="00070E38">
      <w:pPr>
        <w:pStyle w:val="ListParagraph"/>
        <w:numPr>
          <w:ilvl w:val="0"/>
          <w:numId w:val="5"/>
        </w:numPr>
        <w:spacing w:before="60" w:after="60"/>
        <w:rPr>
          <w:rFonts w:eastAsia="Times New Roman"/>
          <w:sz w:val="20"/>
          <w:szCs w:val="20"/>
        </w:rPr>
      </w:pPr>
      <w:r w:rsidRPr="00070E38">
        <w:rPr>
          <w:rFonts w:eastAsia="Times New Roman"/>
          <w:color w:val="323232"/>
          <w:sz w:val="20"/>
          <w:szCs w:val="20"/>
          <w:shd w:val="clear" w:color="auto" w:fill="FFFFFF"/>
        </w:rPr>
        <w:t xml:space="preserve">Laxminarayan, "Antibiotic Resistance in India: Drivers and Opportunities for Action," </w:t>
      </w:r>
      <w:r w:rsidRPr="00070E38">
        <w:rPr>
          <w:rFonts w:eastAsia="Times New Roman"/>
          <w:color w:val="323232"/>
          <w:sz w:val="20"/>
          <w:szCs w:val="20"/>
          <w:shd w:val="clear" w:color="auto" w:fill="FFFFFF"/>
        </w:rPr>
        <w:t xml:space="preserve">4. </w:t>
      </w:r>
    </w:p>
  </w:footnote>
  <w:footnote w:id="18">
    <w:p w14:paraId="4208905C" w14:textId="4FC309C8" w:rsidR="00B4717F" w:rsidRPr="00070E38" w:rsidRDefault="00B4717F" w:rsidP="00070E38">
      <w:pPr>
        <w:pStyle w:val="ListParagraph"/>
        <w:numPr>
          <w:ilvl w:val="0"/>
          <w:numId w:val="5"/>
        </w:numPr>
        <w:spacing w:before="60" w:after="60"/>
        <w:rPr>
          <w:rFonts w:eastAsia="Times New Roman"/>
          <w:sz w:val="20"/>
          <w:szCs w:val="20"/>
        </w:rPr>
      </w:pPr>
      <w:r w:rsidRPr="00070E38">
        <w:rPr>
          <w:rFonts w:eastAsia="Times New Roman"/>
          <w:color w:val="333333"/>
          <w:sz w:val="20"/>
          <w:szCs w:val="20"/>
        </w:rPr>
        <w:t>Basak, Subal C.</w:t>
      </w:r>
      <w:r w:rsidRPr="00070E38">
        <w:rPr>
          <w:rFonts w:eastAsia="Times New Roman"/>
          <w:color w:val="333333"/>
          <w:sz w:val="20"/>
          <w:szCs w:val="20"/>
        </w:rPr>
        <w:t xml:space="preserve"> et al. </w:t>
      </w:r>
      <w:r w:rsidRPr="00070E38">
        <w:rPr>
          <w:rFonts w:eastAsia="Times New Roman"/>
          <w:color w:val="333333"/>
          <w:sz w:val="20"/>
          <w:szCs w:val="20"/>
        </w:rPr>
        <w:t>"The Changing Roles of Pharmacists in Community Pharmacies: Perception of Reality in India."</w:t>
      </w:r>
      <w:r w:rsidRPr="00070E38">
        <w:rPr>
          <w:rStyle w:val="apple-converted-space"/>
          <w:rFonts w:eastAsia="Times New Roman"/>
          <w:color w:val="333333"/>
          <w:sz w:val="20"/>
          <w:szCs w:val="20"/>
        </w:rPr>
        <w:t> </w:t>
      </w:r>
      <w:r w:rsidRPr="00070E38">
        <w:rPr>
          <w:rFonts w:eastAsia="Times New Roman"/>
          <w:i/>
          <w:iCs/>
          <w:color w:val="333333"/>
          <w:sz w:val="20"/>
          <w:szCs w:val="20"/>
        </w:rPr>
        <w:t>Pharmacy World and Science</w:t>
      </w:r>
      <w:r w:rsidRPr="00070E38">
        <w:rPr>
          <w:rStyle w:val="apple-converted-space"/>
          <w:rFonts w:eastAsia="Times New Roman"/>
          <w:color w:val="333333"/>
          <w:sz w:val="20"/>
          <w:szCs w:val="20"/>
        </w:rPr>
        <w:t> </w:t>
      </w:r>
      <w:r w:rsidRPr="00070E38">
        <w:rPr>
          <w:rFonts w:eastAsia="Times New Roman"/>
          <w:color w:val="333333"/>
          <w:sz w:val="20"/>
          <w:szCs w:val="20"/>
        </w:rPr>
        <w:t xml:space="preserve">31, no. 6 (June 25, </w:t>
      </w:r>
      <w:r w:rsidRPr="00070E38">
        <w:rPr>
          <w:rFonts w:eastAsia="Times New Roman"/>
          <w:color w:val="333333"/>
          <w:sz w:val="20"/>
          <w:szCs w:val="20"/>
        </w:rPr>
        <w:t>2009): 615.</w:t>
      </w:r>
      <w:r w:rsidRPr="00070E38">
        <w:rPr>
          <w:rFonts w:eastAsia="Times New Roman"/>
          <w:color w:val="333333"/>
          <w:sz w:val="20"/>
          <w:szCs w:val="20"/>
        </w:rPr>
        <w:t xml:space="preserve"> doi:</w:t>
      </w:r>
      <w:r w:rsidRPr="00070E38">
        <w:rPr>
          <w:rFonts w:eastAsia="Times New Roman"/>
          <w:color w:val="333333"/>
          <w:spacing w:val="4"/>
          <w:sz w:val="20"/>
          <w:szCs w:val="20"/>
          <w:shd w:val="clear" w:color="auto" w:fill="FCFCFC"/>
        </w:rPr>
        <w:t xml:space="preserve"> </w:t>
      </w:r>
      <w:hyperlink r:id="rId5" w:history="1">
        <w:r w:rsidRPr="00070E38">
          <w:rPr>
            <w:rStyle w:val="Hyperlink"/>
            <w:rFonts w:eastAsia="Times New Roman"/>
            <w:spacing w:val="4"/>
            <w:sz w:val="20"/>
            <w:szCs w:val="20"/>
            <w:shd w:val="clear" w:color="auto" w:fill="FCFCFC"/>
          </w:rPr>
          <w:t>https://doi.org/10.1007/s11096-009-9307-y</w:t>
        </w:r>
      </w:hyperlink>
      <w:r w:rsidRPr="00070E38">
        <w:rPr>
          <w:rFonts w:eastAsia="Times New Roman"/>
          <w:color w:val="333333"/>
          <w:spacing w:val="4"/>
          <w:sz w:val="20"/>
          <w:szCs w:val="20"/>
          <w:shd w:val="clear" w:color="auto" w:fill="FCFCFC"/>
        </w:rPr>
        <w:t xml:space="preserve">. </w:t>
      </w:r>
      <w:r w:rsidRPr="00070E38">
        <w:rPr>
          <w:rFonts w:eastAsia="Times New Roman"/>
          <w:color w:val="333333"/>
          <w:sz w:val="20"/>
          <w:szCs w:val="20"/>
        </w:rPr>
        <w:t>(accessed December 4, 2016)</w:t>
      </w:r>
      <w:r w:rsidRPr="00070E38">
        <w:rPr>
          <w:rFonts w:eastAsia="Times New Roman"/>
          <w:color w:val="333333"/>
          <w:sz w:val="20"/>
          <w:szCs w:val="20"/>
        </w:rPr>
        <w:t xml:space="preserve">. </w:t>
      </w:r>
    </w:p>
  </w:footnote>
  <w:footnote w:id="19">
    <w:p w14:paraId="79B1C58D" w14:textId="694ECED9" w:rsidR="00B4717F" w:rsidRPr="00070E38" w:rsidRDefault="00B4717F" w:rsidP="00070E38">
      <w:pPr>
        <w:pStyle w:val="ListParagraph"/>
        <w:numPr>
          <w:ilvl w:val="0"/>
          <w:numId w:val="5"/>
        </w:numPr>
        <w:spacing w:before="60" w:after="60"/>
        <w:rPr>
          <w:rFonts w:eastAsia="Times New Roman"/>
          <w:color w:val="333333"/>
          <w:sz w:val="20"/>
          <w:szCs w:val="20"/>
        </w:rPr>
      </w:pPr>
      <w:r w:rsidRPr="00070E38">
        <w:rPr>
          <w:rFonts w:eastAsia="Times New Roman"/>
          <w:color w:val="333333"/>
          <w:sz w:val="20"/>
          <w:szCs w:val="20"/>
        </w:rPr>
        <w:t>Basak, Subal Chandra and Dondeti Sathyanarayana. "Community Pharmacy Practice in India: Past, Present and Future."</w:t>
      </w:r>
      <w:r w:rsidRPr="00070E38">
        <w:rPr>
          <w:rStyle w:val="apple-converted-space"/>
          <w:rFonts w:eastAsia="Times New Roman"/>
          <w:color w:val="333333"/>
          <w:sz w:val="20"/>
          <w:szCs w:val="20"/>
        </w:rPr>
        <w:t> </w:t>
      </w:r>
      <w:r w:rsidRPr="00070E38">
        <w:rPr>
          <w:rFonts w:eastAsia="Times New Roman"/>
          <w:i/>
          <w:iCs/>
          <w:color w:val="333333"/>
          <w:sz w:val="20"/>
          <w:szCs w:val="20"/>
        </w:rPr>
        <w:t>Southern Med Review</w:t>
      </w:r>
      <w:r w:rsidRPr="00070E38">
        <w:rPr>
          <w:rStyle w:val="apple-converted-space"/>
          <w:rFonts w:eastAsia="Times New Roman"/>
          <w:color w:val="333333"/>
          <w:sz w:val="20"/>
          <w:szCs w:val="20"/>
        </w:rPr>
        <w:t> </w:t>
      </w:r>
      <w:r w:rsidRPr="00070E38">
        <w:rPr>
          <w:rFonts w:eastAsia="Times New Roman"/>
          <w:color w:val="333333"/>
          <w:sz w:val="20"/>
          <w:szCs w:val="20"/>
        </w:rPr>
        <w:t>2, no. 1 (April, 2009</w:t>
      </w:r>
      <w:r w:rsidRPr="00070E38">
        <w:rPr>
          <w:rFonts w:eastAsia="Times New Roman"/>
          <w:color w:val="333333"/>
          <w:sz w:val="20"/>
          <w:szCs w:val="20"/>
        </w:rPr>
        <w:t>): 12.</w:t>
      </w:r>
      <w:r w:rsidRPr="00070E38">
        <w:rPr>
          <w:rFonts w:eastAsia="Times New Roman"/>
          <w:color w:val="333333"/>
          <w:sz w:val="20"/>
          <w:szCs w:val="20"/>
        </w:rPr>
        <w:t xml:space="preserve"> </w:t>
      </w:r>
      <w:hyperlink r:id="rId6" w:history="1">
        <w:r w:rsidRPr="00070E38">
          <w:rPr>
            <w:rStyle w:val="Hyperlink"/>
            <w:rFonts w:eastAsia="Times New Roman"/>
            <w:sz w:val="20"/>
            <w:szCs w:val="20"/>
          </w:rPr>
          <w:t>https://www.ncbi.nlm.nih.gov/pmc/articles/PMC3471162/</w:t>
        </w:r>
      </w:hyperlink>
      <w:r w:rsidRPr="00070E38">
        <w:rPr>
          <w:rFonts w:eastAsia="Times New Roman"/>
          <w:color w:val="333333"/>
          <w:sz w:val="20"/>
          <w:szCs w:val="20"/>
        </w:rPr>
        <w:t xml:space="preserve"> (accessed December 4, 2018</w:t>
      </w:r>
      <w:r w:rsidRPr="00070E38">
        <w:rPr>
          <w:rFonts w:eastAsia="Times New Roman"/>
          <w:color w:val="333333"/>
          <w:sz w:val="20"/>
          <w:szCs w:val="20"/>
        </w:rPr>
        <w:t xml:space="preserve">). </w:t>
      </w:r>
      <w:r w:rsidRPr="00070E38">
        <w:rPr>
          <w:rFonts w:eastAsia="Times New Roman"/>
          <w:color w:val="333333"/>
          <w:sz w:val="20"/>
          <w:szCs w:val="20"/>
        </w:rPr>
        <w:t xml:space="preserve"> </w:t>
      </w:r>
    </w:p>
  </w:footnote>
  <w:footnote w:id="20">
    <w:p w14:paraId="39828A71" w14:textId="610C6167" w:rsidR="00B4717F" w:rsidRPr="00070E38" w:rsidRDefault="00B4717F" w:rsidP="00070E38">
      <w:pPr>
        <w:pStyle w:val="FootnoteText"/>
        <w:numPr>
          <w:ilvl w:val="0"/>
          <w:numId w:val="5"/>
        </w:numPr>
        <w:spacing w:before="60" w:after="60"/>
        <w:rPr>
          <w:sz w:val="20"/>
          <w:szCs w:val="20"/>
        </w:rPr>
      </w:pPr>
      <w:r w:rsidRPr="00070E38">
        <w:rPr>
          <w:rFonts w:eastAsia="Times New Roman"/>
          <w:color w:val="333333"/>
          <w:sz w:val="20"/>
          <w:szCs w:val="20"/>
        </w:rPr>
        <w:t xml:space="preserve">Basak, </w:t>
      </w:r>
      <w:r w:rsidRPr="00070E38">
        <w:rPr>
          <w:rFonts w:eastAsia="Times New Roman"/>
          <w:color w:val="333333"/>
          <w:sz w:val="20"/>
          <w:szCs w:val="20"/>
        </w:rPr>
        <w:t>"The Changing Roles of Pharmacists in Community Pharmacies:</w:t>
      </w:r>
      <w:r w:rsidRPr="00070E38">
        <w:rPr>
          <w:rFonts w:eastAsia="Times New Roman"/>
          <w:color w:val="333333"/>
          <w:sz w:val="20"/>
          <w:szCs w:val="20"/>
        </w:rPr>
        <w:t xml:space="preserve"> Perception of Reality in India,</w:t>
      </w:r>
      <w:r w:rsidRPr="00070E38">
        <w:rPr>
          <w:rFonts w:eastAsia="Times New Roman"/>
          <w:color w:val="333333"/>
          <w:sz w:val="20"/>
          <w:szCs w:val="20"/>
        </w:rPr>
        <w:t>"</w:t>
      </w:r>
      <w:r w:rsidRPr="00070E38">
        <w:rPr>
          <w:rFonts w:eastAsia="Times New Roman"/>
          <w:color w:val="333333"/>
          <w:sz w:val="20"/>
          <w:szCs w:val="20"/>
        </w:rPr>
        <w:t xml:space="preserve"> 613. </w:t>
      </w:r>
    </w:p>
  </w:footnote>
  <w:footnote w:id="21">
    <w:p w14:paraId="31703A1E" w14:textId="6A6EDBAF" w:rsidR="008C537E" w:rsidRPr="00070E38" w:rsidRDefault="008C537E" w:rsidP="00070E38">
      <w:pPr>
        <w:pStyle w:val="ListParagraph"/>
        <w:numPr>
          <w:ilvl w:val="0"/>
          <w:numId w:val="5"/>
        </w:numPr>
        <w:spacing w:before="60" w:after="60"/>
        <w:rPr>
          <w:rFonts w:eastAsia="Times New Roman"/>
          <w:color w:val="333333"/>
          <w:sz w:val="20"/>
          <w:szCs w:val="20"/>
        </w:rPr>
      </w:pPr>
      <w:r w:rsidRPr="00070E38">
        <w:rPr>
          <w:rFonts w:eastAsia="Times New Roman"/>
          <w:color w:val="2E414F"/>
          <w:sz w:val="20"/>
          <w:szCs w:val="20"/>
          <w:shd w:val="clear" w:color="auto" w:fill="FFFFFF"/>
        </w:rPr>
        <w:t>Nepal, Gaurav and Shekhar Bhatta. “Self-medication with Antibiotics in WHO Southeast Asian Region: A Systematic Review.”</w:t>
      </w:r>
      <w:r w:rsidRPr="00070E38">
        <w:rPr>
          <w:rStyle w:val="apple-converted-space"/>
          <w:rFonts w:eastAsia="Times New Roman"/>
          <w:color w:val="2E414F"/>
          <w:sz w:val="20"/>
          <w:szCs w:val="20"/>
          <w:shd w:val="clear" w:color="auto" w:fill="FFFFFF"/>
        </w:rPr>
        <w:t> </w:t>
      </w:r>
      <w:r w:rsidRPr="00070E38">
        <w:rPr>
          <w:rStyle w:val="Emphasis"/>
          <w:rFonts w:eastAsia="Times New Roman"/>
          <w:color w:val="2E414F"/>
          <w:sz w:val="20"/>
          <w:szCs w:val="20"/>
        </w:rPr>
        <w:t>Cureus</w:t>
      </w:r>
      <w:r w:rsidRPr="00070E38">
        <w:rPr>
          <w:rStyle w:val="apple-converted-space"/>
          <w:rFonts w:eastAsia="Times New Roman"/>
          <w:color w:val="2E414F"/>
          <w:sz w:val="20"/>
          <w:szCs w:val="20"/>
          <w:shd w:val="clear" w:color="auto" w:fill="FFFFFF"/>
        </w:rPr>
        <w:t xml:space="preserve"> 10, no. 4 </w:t>
      </w:r>
      <w:r w:rsidRPr="00070E38">
        <w:rPr>
          <w:rFonts w:eastAsia="Times New Roman"/>
          <w:color w:val="2E414F"/>
          <w:sz w:val="20"/>
          <w:szCs w:val="20"/>
          <w:shd w:val="clear" w:color="auto" w:fill="FFFFFF"/>
        </w:rPr>
        <w:t>(April 05, 2018)</w:t>
      </w:r>
      <w:r w:rsidRPr="00070E38">
        <w:rPr>
          <w:rFonts w:eastAsia="Times New Roman"/>
          <w:color w:val="2E414F"/>
          <w:sz w:val="20"/>
          <w:szCs w:val="20"/>
          <w:shd w:val="clear" w:color="auto" w:fill="FFFFFF"/>
        </w:rPr>
        <w:t>: 1.</w:t>
      </w:r>
      <w:r w:rsidRPr="00070E38">
        <w:rPr>
          <w:rFonts w:eastAsia="Times New Roman"/>
          <w:color w:val="2E414F"/>
          <w:sz w:val="20"/>
          <w:szCs w:val="20"/>
          <w:shd w:val="clear" w:color="auto" w:fill="FFFFFF"/>
        </w:rPr>
        <w:t xml:space="preserve"> doi: </w:t>
      </w:r>
      <w:r w:rsidRPr="00070E38">
        <w:rPr>
          <w:sz w:val="20"/>
          <w:szCs w:val="20"/>
        </w:rPr>
        <w:t>10.7759/cureus.2428</w:t>
      </w:r>
      <w:r w:rsidRPr="00070E38">
        <w:rPr>
          <w:sz w:val="20"/>
          <w:szCs w:val="20"/>
        </w:rPr>
        <w:t>. (accessed December 4, 2018).</w:t>
      </w:r>
    </w:p>
  </w:footnote>
  <w:footnote w:id="22">
    <w:p w14:paraId="207CAF5F" w14:textId="089CDB46" w:rsidR="008C537E" w:rsidRPr="00070E38" w:rsidRDefault="008C537E" w:rsidP="00070E38">
      <w:pPr>
        <w:pStyle w:val="FootnoteText"/>
        <w:numPr>
          <w:ilvl w:val="0"/>
          <w:numId w:val="5"/>
        </w:numPr>
        <w:spacing w:before="60" w:after="60"/>
        <w:rPr>
          <w:sz w:val="20"/>
          <w:szCs w:val="20"/>
        </w:rPr>
      </w:pPr>
      <w:r w:rsidRPr="00070E38">
        <w:rPr>
          <w:sz w:val="20"/>
          <w:szCs w:val="20"/>
        </w:rPr>
        <w:t xml:space="preserve">Ibid., 6. </w:t>
      </w:r>
    </w:p>
  </w:footnote>
  <w:footnote w:id="23">
    <w:p w14:paraId="5A1C5E69" w14:textId="5A035D5E" w:rsidR="00CA50D6" w:rsidRPr="00070E38" w:rsidRDefault="00CA50D6" w:rsidP="00070E38">
      <w:pPr>
        <w:pStyle w:val="ListParagraph"/>
        <w:numPr>
          <w:ilvl w:val="0"/>
          <w:numId w:val="5"/>
        </w:numPr>
        <w:spacing w:before="60" w:after="60"/>
        <w:rPr>
          <w:rFonts w:eastAsia="Times New Roman"/>
          <w:color w:val="333333"/>
          <w:sz w:val="20"/>
          <w:szCs w:val="20"/>
        </w:rPr>
      </w:pPr>
      <w:r w:rsidRPr="00070E38">
        <w:rPr>
          <w:rFonts w:eastAsia="Times New Roman"/>
          <w:color w:val="333333"/>
          <w:sz w:val="20"/>
          <w:szCs w:val="20"/>
        </w:rPr>
        <w:t>Kotwani, A., C. Wattal, P. C. Joshi, and K. Holloway. "Irrational use of Antibiotics and Role of the Pharmacist: An Insight from a Qualitative Study in New Delhi, India."</w:t>
      </w:r>
      <w:r w:rsidRPr="00070E38">
        <w:rPr>
          <w:rStyle w:val="apple-converted-space"/>
          <w:rFonts w:eastAsia="Times New Roman"/>
          <w:color w:val="333333"/>
          <w:sz w:val="20"/>
          <w:szCs w:val="20"/>
        </w:rPr>
        <w:t> </w:t>
      </w:r>
      <w:r w:rsidRPr="00070E38">
        <w:rPr>
          <w:rFonts w:eastAsia="Times New Roman"/>
          <w:i/>
          <w:iCs/>
          <w:color w:val="333333"/>
          <w:sz w:val="20"/>
          <w:szCs w:val="20"/>
        </w:rPr>
        <w:t>Journal of Clinical Pharmacy and Therapeutics</w:t>
      </w:r>
      <w:r w:rsidRPr="00070E38">
        <w:rPr>
          <w:rStyle w:val="apple-converted-space"/>
          <w:rFonts w:eastAsia="Times New Roman"/>
          <w:color w:val="333333"/>
          <w:sz w:val="20"/>
          <w:szCs w:val="20"/>
        </w:rPr>
        <w:t> </w:t>
      </w:r>
      <w:r w:rsidRPr="00070E38">
        <w:rPr>
          <w:rFonts w:eastAsia="Times New Roman"/>
          <w:color w:val="333333"/>
          <w:sz w:val="20"/>
          <w:szCs w:val="20"/>
        </w:rPr>
        <w:t>37, no. 3 (August 23, 2012)</w:t>
      </w:r>
      <w:r w:rsidRPr="00070E38">
        <w:rPr>
          <w:rFonts w:eastAsia="Times New Roman"/>
          <w:color w:val="333333"/>
          <w:sz w:val="20"/>
          <w:szCs w:val="20"/>
        </w:rPr>
        <w:t xml:space="preserve">: </w:t>
      </w:r>
      <w:r w:rsidR="007C73D3" w:rsidRPr="00070E38">
        <w:rPr>
          <w:rFonts w:eastAsia="Times New Roman"/>
          <w:color w:val="333333"/>
          <w:sz w:val="20"/>
          <w:szCs w:val="20"/>
        </w:rPr>
        <w:t>308.</w:t>
      </w:r>
      <w:r w:rsidRPr="00070E38">
        <w:rPr>
          <w:rFonts w:eastAsia="Times New Roman"/>
          <w:color w:val="333333"/>
          <w:sz w:val="20"/>
          <w:szCs w:val="20"/>
        </w:rPr>
        <w:t xml:space="preserve"> doi: </w:t>
      </w:r>
      <w:hyperlink r:id="rId7" w:history="1">
        <w:r w:rsidRPr="00070E38">
          <w:rPr>
            <w:rStyle w:val="Hyperlink"/>
            <w:rFonts w:eastAsia="Times New Roman"/>
            <w:bCs/>
            <w:color w:val="005274"/>
            <w:sz w:val="20"/>
            <w:szCs w:val="20"/>
          </w:rPr>
          <w:t>https://doi.org/10.1111/j.1365-2710.2011.01293.x</w:t>
        </w:r>
      </w:hyperlink>
      <w:r w:rsidRPr="00070E38">
        <w:rPr>
          <w:rFonts w:eastAsia="Times New Roman"/>
          <w:sz w:val="20"/>
          <w:szCs w:val="20"/>
        </w:rPr>
        <w:t>. (accessed December 4, 2018</w:t>
      </w:r>
      <w:r w:rsidR="007C73D3" w:rsidRPr="00070E38">
        <w:rPr>
          <w:rFonts w:eastAsia="Times New Roman"/>
          <w:sz w:val="20"/>
          <w:szCs w:val="20"/>
        </w:rPr>
        <w:t>).</w:t>
      </w:r>
    </w:p>
    <w:p w14:paraId="76974F4E" w14:textId="62058919" w:rsidR="00CA50D6" w:rsidRPr="00070E38" w:rsidRDefault="00CA50D6" w:rsidP="00070E38">
      <w:pPr>
        <w:pStyle w:val="FootnoteText"/>
        <w:spacing w:before="60" w:after="60"/>
        <w:rPr>
          <w:sz w:val="20"/>
          <w:szCs w:val="20"/>
        </w:rPr>
      </w:pPr>
    </w:p>
  </w:footnote>
  <w:footnote w:id="24">
    <w:p w14:paraId="259F87F3" w14:textId="2C1F690B" w:rsidR="00391B98" w:rsidRPr="00070E38" w:rsidRDefault="00391B98" w:rsidP="00070E38">
      <w:pPr>
        <w:pStyle w:val="ListParagraph"/>
        <w:numPr>
          <w:ilvl w:val="0"/>
          <w:numId w:val="5"/>
        </w:numPr>
        <w:spacing w:before="60" w:after="60"/>
        <w:rPr>
          <w:rFonts w:eastAsia="Times New Roman"/>
          <w:i/>
          <w:iCs/>
          <w:color w:val="333333"/>
          <w:sz w:val="20"/>
          <w:szCs w:val="20"/>
        </w:rPr>
      </w:pPr>
      <w:r w:rsidRPr="00070E38">
        <w:rPr>
          <w:rFonts w:eastAsia="Times New Roman"/>
          <w:color w:val="333333"/>
          <w:sz w:val="20"/>
          <w:szCs w:val="20"/>
        </w:rPr>
        <w:t>Ahmad, Akram and Isha Patel. "Job Satisfaction among Indian Pharmacists."</w:t>
      </w:r>
      <w:r w:rsidRPr="00070E38">
        <w:rPr>
          <w:rStyle w:val="apple-converted-space"/>
          <w:rFonts w:eastAsia="Times New Roman"/>
          <w:color w:val="333333"/>
          <w:sz w:val="20"/>
          <w:szCs w:val="20"/>
        </w:rPr>
        <w:t> </w:t>
      </w:r>
      <w:r w:rsidRPr="00070E38">
        <w:rPr>
          <w:rFonts w:eastAsia="Times New Roman"/>
          <w:i/>
          <w:iCs/>
          <w:color w:val="333333"/>
          <w:sz w:val="20"/>
          <w:szCs w:val="20"/>
        </w:rPr>
        <w:t>Journal of Pharmacy &amp; Bioallied Sciences</w:t>
      </w:r>
      <w:r w:rsidRPr="00070E38">
        <w:rPr>
          <w:rStyle w:val="apple-converted-space"/>
          <w:rFonts w:eastAsia="Times New Roman"/>
          <w:color w:val="333333"/>
          <w:sz w:val="20"/>
          <w:szCs w:val="20"/>
        </w:rPr>
        <w:t> </w:t>
      </w:r>
      <w:r w:rsidRPr="00070E38">
        <w:rPr>
          <w:rFonts w:eastAsia="Times New Roman"/>
          <w:color w:val="333333"/>
          <w:sz w:val="20"/>
          <w:szCs w:val="20"/>
        </w:rPr>
        <w:t>5, no. 4 (October, 2013):</w:t>
      </w:r>
      <w:r w:rsidRPr="00070E38">
        <w:rPr>
          <w:rFonts w:eastAsia="Times New Roman"/>
          <w:color w:val="333333"/>
          <w:sz w:val="20"/>
          <w:szCs w:val="20"/>
        </w:rPr>
        <w:t xml:space="preserve"> 326.</w:t>
      </w:r>
      <w:r w:rsidRPr="00070E38">
        <w:rPr>
          <w:rFonts w:eastAsia="Times New Roman"/>
          <w:color w:val="333333"/>
          <w:sz w:val="20"/>
          <w:szCs w:val="20"/>
        </w:rPr>
        <w:t xml:space="preserve"> doi: </w:t>
      </w:r>
      <w:hyperlink r:id="rId8" w:tgtFrame="_blank" w:history="1">
        <w:r w:rsidRPr="00070E38">
          <w:rPr>
            <w:rStyle w:val="Hyperlink"/>
            <w:rFonts w:eastAsia="Times New Roman"/>
            <w:color w:val="00478E"/>
            <w:sz w:val="20"/>
            <w:szCs w:val="20"/>
          </w:rPr>
          <w:t>10.4103/0975-7406.120069</w:t>
        </w:r>
      </w:hyperlink>
      <w:r w:rsidRPr="00070E38">
        <w:rPr>
          <w:rFonts w:eastAsia="Times New Roman"/>
          <w:sz w:val="20"/>
          <w:szCs w:val="20"/>
        </w:rPr>
        <w:t xml:space="preserve">. </w:t>
      </w:r>
      <w:r w:rsidRPr="00070E38">
        <w:rPr>
          <w:rFonts w:eastAsia="Times New Roman"/>
          <w:color w:val="333333"/>
          <w:sz w:val="20"/>
          <w:szCs w:val="20"/>
        </w:rPr>
        <w:t>(accessed December 4, 2018</w:t>
      </w:r>
      <w:r w:rsidRPr="00070E38">
        <w:rPr>
          <w:rFonts w:eastAsia="Times New Roman"/>
          <w:color w:val="333333"/>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061BD" w14:textId="77777777" w:rsidR="00F2151E" w:rsidRDefault="00F2151E" w:rsidP="00F2151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539EC" w14:textId="77777777" w:rsidR="00F2151E" w:rsidRDefault="00F2151E" w:rsidP="00CC0A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5438" w14:textId="77777777" w:rsidR="00F2151E" w:rsidRPr="00CC0AFF" w:rsidRDefault="00F2151E" w:rsidP="00F2151E">
    <w:pPr>
      <w:pStyle w:val="Header"/>
      <w:framePr w:wrap="none" w:vAnchor="text" w:hAnchor="margin" w:xAlign="right" w:y="1"/>
      <w:rPr>
        <w:rStyle w:val="PageNumber"/>
      </w:rPr>
    </w:pPr>
    <w:r w:rsidRPr="00CC0AFF">
      <w:rPr>
        <w:rStyle w:val="PageNumber"/>
      </w:rPr>
      <w:fldChar w:fldCharType="begin"/>
    </w:r>
    <w:r w:rsidRPr="00CC0AFF">
      <w:rPr>
        <w:rStyle w:val="PageNumber"/>
      </w:rPr>
      <w:instrText xml:space="preserve">PAGE  </w:instrText>
    </w:r>
    <w:r w:rsidRPr="00CC0AFF">
      <w:rPr>
        <w:rStyle w:val="PageNumber"/>
      </w:rPr>
      <w:fldChar w:fldCharType="separate"/>
    </w:r>
    <w:r w:rsidR="001F3D33">
      <w:rPr>
        <w:rStyle w:val="PageNumber"/>
        <w:noProof/>
      </w:rPr>
      <w:t>1</w:t>
    </w:r>
    <w:r w:rsidRPr="00CC0AFF">
      <w:rPr>
        <w:rStyle w:val="PageNumber"/>
      </w:rPr>
      <w:fldChar w:fldCharType="end"/>
    </w:r>
  </w:p>
  <w:p w14:paraId="3FD2DC85" w14:textId="77777777" w:rsidR="00F2151E" w:rsidRDefault="00F2151E" w:rsidP="00CC0AF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40940"/>
    <w:multiLevelType w:val="multilevel"/>
    <w:tmpl w:val="351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E32CA"/>
    <w:multiLevelType w:val="multilevel"/>
    <w:tmpl w:val="6A1A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63E96"/>
    <w:multiLevelType w:val="multilevel"/>
    <w:tmpl w:val="8722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C61D8"/>
    <w:multiLevelType w:val="multilevel"/>
    <w:tmpl w:val="EF10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00CA9"/>
    <w:multiLevelType w:val="multilevel"/>
    <w:tmpl w:val="9D2E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27C30"/>
    <w:multiLevelType w:val="multilevel"/>
    <w:tmpl w:val="03B8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A4E71"/>
    <w:multiLevelType w:val="multilevel"/>
    <w:tmpl w:val="F964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F1A1A"/>
    <w:multiLevelType w:val="multilevel"/>
    <w:tmpl w:val="3D7E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F4A1C"/>
    <w:multiLevelType w:val="hybridMultilevel"/>
    <w:tmpl w:val="CF521E5C"/>
    <w:lvl w:ilvl="0" w:tplc="1AD6FCBA">
      <w:start w:val="1"/>
      <w:numFmt w:val="decimal"/>
      <w:lvlText w:val="%1."/>
      <w:lvlJc w:val="left"/>
      <w:pPr>
        <w:ind w:left="360" w:hanging="360"/>
      </w:pPr>
      <w:rPr>
        <w:rFonts w:ascii="Times New Roman" w:eastAsia="Times New Roman" w:hAnsi="Times New Roman" w:cs="Times New Roman"/>
        <w:b w:val="0"/>
        <w:i w:val="0"/>
        <w:color w:val="323232"/>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1F4864"/>
    <w:multiLevelType w:val="multilevel"/>
    <w:tmpl w:val="DB30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02ACC"/>
    <w:multiLevelType w:val="multilevel"/>
    <w:tmpl w:val="39F2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A44399"/>
    <w:multiLevelType w:val="hybridMultilevel"/>
    <w:tmpl w:val="A5E021BE"/>
    <w:lvl w:ilvl="0" w:tplc="E3549E88">
      <w:start w:val="1"/>
      <w:numFmt w:val="decimal"/>
      <w:lvlText w:val="%1."/>
      <w:lvlJc w:val="left"/>
      <w:pPr>
        <w:ind w:left="720" w:hanging="360"/>
      </w:pPr>
      <w:rPr>
        <w:b w:val="0"/>
        <w:i w:val="0"/>
        <w:color w:val="3232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36728C"/>
    <w:multiLevelType w:val="multilevel"/>
    <w:tmpl w:val="609E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7"/>
  </w:num>
  <w:num w:numId="4">
    <w:abstractNumId w:val="11"/>
  </w:num>
  <w:num w:numId="5">
    <w:abstractNumId w:val="8"/>
  </w:num>
  <w:num w:numId="6">
    <w:abstractNumId w:val="5"/>
  </w:num>
  <w:num w:numId="7">
    <w:abstractNumId w:val="2"/>
  </w:num>
  <w:num w:numId="8">
    <w:abstractNumId w:val="12"/>
  </w:num>
  <w:num w:numId="9">
    <w:abstractNumId w:val="3"/>
  </w:num>
  <w:num w:numId="10">
    <w:abstractNumId w:val="9"/>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C2"/>
    <w:rsid w:val="000201A9"/>
    <w:rsid w:val="00023504"/>
    <w:rsid w:val="00070E38"/>
    <w:rsid w:val="000873DD"/>
    <w:rsid w:val="000967E7"/>
    <w:rsid w:val="000B0ED0"/>
    <w:rsid w:val="000F344A"/>
    <w:rsid w:val="00127A3E"/>
    <w:rsid w:val="00151286"/>
    <w:rsid w:val="001723F7"/>
    <w:rsid w:val="0019292E"/>
    <w:rsid w:val="001A096D"/>
    <w:rsid w:val="001D2987"/>
    <w:rsid w:val="001E2D32"/>
    <w:rsid w:val="001F3D33"/>
    <w:rsid w:val="00262545"/>
    <w:rsid w:val="0029654E"/>
    <w:rsid w:val="002D3116"/>
    <w:rsid w:val="002D534C"/>
    <w:rsid w:val="002E324A"/>
    <w:rsid w:val="003527A4"/>
    <w:rsid w:val="00391B98"/>
    <w:rsid w:val="003947FF"/>
    <w:rsid w:val="003A6DA0"/>
    <w:rsid w:val="003D3345"/>
    <w:rsid w:val="003D5BFF"/>
    <w:rsid w:val="003D6D68"/>
    <w:rsid w:val="003E0D99"/>
    <w:rsid w:val="003F40B8"/>
    <w:rsid w:val="003F700B"/>
    <w:rsid w:val="0040167E"/>
    <w:rsid w:val="0044727A"/>
    <w:rsid w:val="004716A6"/>
    <w:rsid w:val="004738EE"/>
    <w:rsid w:val="00486897"/>
    <w:rsid w:val="004A6CC7"/>
    <w:rsid w:val="004D0AB2"/>
    <w:rsid w:val="004D0E38"/>
    <w:rsid w:val="004D32FE"/>
    <w:rsid w:val="004F4DC8"/>
    <w:rsid w:val="0050399D"/>
    <w:rsid w:val="00530EE8"/>
    <w:rsid w:val="0057014B"/>
    <w:rsid w:val="00572015"/>
    <w:rsid w:val="005A1DC6"/>
    <w:rsid w:val="005B41AC"/>
    <w:rsid w:val="005B733F"/>
    <w:rsid w:val="005D43ED"/>
    <w:rsid w:val="005E25E0"/>
    <w:rsid w:val="00643024"/>
    <w:rsid w:val="00671A66"/>
    <w:rsid w:val="006A69B6"/>
    <w:rsid w:val="006F2B11"/>
    <w:rsid w:val="006F2BD4"/>
    <w:rsid w:val="007160FE"/>
    <w:rsid w:val="007621B6"/>
    <w:rsid w:val="00773797"/>
    <w:rsid w:val="007777D3"/>
    <w:rsid w:val="00777D31"/>
    <w:rsid w:val="007C6DB5"/>
    <w:rsid w:val="007C73D3"/>
    <w:rsid w:val="007E2CC2"/>
    <w:rsid w:val="00804DF0"/>
    <w:rsid w:val="00846788"/>
    <w:rsid w:val="008809A8"/>
    <w:rsid w:val="00887D01"/>
    <w:rsid w:val="008A21B0"/>
    <w:rsid w:val="008A3209"/>
    <w:rsid w:val="008A3344"/>
    <w:rsid w:val="008C537E"/>
    <w:rsid w:val="008E7C1F"/>
    <w:rsid w:val="009128DF"/>
    <w:rsid w:val="00931A4D"/>
    <w:rsid w:val="0094515B"/>
    <w:rsid w:val="00957F7B"/>
    <w:rsid w:val="009F3DD7"/>
    <w:rsid w:val="00A23C6C"/>
    <w:rsid w:val="00A37941"/>
    <w:rsid w:val="00A47D70"/>
    <w:rsid w:val="00A61E5B"/>
    <w:rsid w:val="00A64915"/>
    <w:rsid w:val="00A659D0"/>
    <w:rsid w:val="00A7120B"/>
    <w:rsid w:val="00AA6725"/>
    <w:rsid w:val="00AD3E22"/>
    <w:rsid w:val="00B22288"/>
    <w:rsid w:val="00B4717F"/>
    <w:rsid w:val="00B602E1"/>
    <w:rsid w:val="00BB1580"/>
    <w:rsid w:val="00BF2055"/>
    <w:rsid w:val="00BF7358"/>
    <w:rsid w:val="00C1136D"/>
    <w:rsid w:val="00C47D85"/>
    <w:rsid w:val="00C7420C"/>
    <w:rsid w:val="00CA50D6"/>
    <w:rsid w:val="00CC0AFF"/>
    <w:rsid w:val="00CE1ED2"/>
    <w:rsid w:val="00CE7844"/>
    <w:rsid w:val="00D00AB9"/>
    <w:rsid w:val="00D047D0"/>
    <w:rsid w:val="00D1470C"/>
    <w:rsid w:val="00D249A8"/>
    <w:rsid w:val="00D328E8"/>
    <w:rsid w:val="00D349E7"/>
    <w:rsid w:val="00D51367"/>
    <w:rsid w:val="00D63142"/>
    <w:rsid w:val="00D953C2"/>
    <w:rsid w:val="00D95505"/>
    <w:rsid w:val="00DC0245"/>
    <w:rsid w:val="00DD47BE"/>
    <w:rsid w:val="00DE2D6B"/>
    <w:rsid w:val="00DF3794"/>
    <w:rsid w:val="00E06603"/>
    <w:rsid w:val="00E42DD9"/>
    <w:rsid w:val="00E60A64"/>
    <w:rsid w:val="00E8642A"/>
    <w:rsid w:val="00EB3877"/>
    <w:rsid w:val="00EC2ECF"/>
    <w:rsid w:val="00EC6764"/>
    <w:rsid w:val="00F2151E"/>
    <w:rsid w:val="00F64BCB"/>
    <w:rsid w:val="00F70545"/>
    <w:rsid w:val="00F73C60"/>
    <w:rsid w:val="00FB721A"/>
    <w:rsid w:val="00FF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13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2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0245"/>
  </w:style>
  <w:style w:type="character" w:styleId="Hyperlink">
    <w:name w:val="Hyperlink"/>
    <w:basedOn w:val="DefaultParagraphFont"/>
    <w:uiPriority w:val="99"/>
    <w:unhideWhenUsed/>
    <w:rsid w:val="003527A4"/>
    <w:rPr>
      <w:color w:val="0563C1" w:themeColor="hyperlink"/>
      <w:u w:val="single"/>
    </w:rPr>
  </w:style>
  <w:style w:type="paragraph" w:styleId="NormalWeb">
    <w:name w:val="Normal (Web)"/>
    <w:basedOn w:val="Normal"/>
    <w:uiPriority w:val="99"/>
    <w:unhideWhenUsed/>
    <w:rsid w:val="00A64915"/>
    <w:pPr>
      <w:spacing w:before="100" w:beforeAutospacing="1" w:after="100" w:afterAutospacing="1"/>
    </w:pPr>
  </w:style>
  <w:style w:type="character" w:styleId="FollowedHyperlink">
    <w:name w:val="FollowedHyperlink"/>
    <w:basedOn w:val="DefaultParagraphFont"/>
    <w:uiPriority w:val="99"/>
    <w:semiHidden/>
    <w:unhideWhenUsed/>
    <w:rsid w:val="00E06603"/>
    <w:rPr>
      <w:color w:val="954F72" w:themeColor="followedHyperlink"/>
      <w:u w:val="single"/>
    </w:rPr>
  </w:style>
  <w:style w:type="paragraph" w:styleId="Header">
    <w:name w:val="header"/>
    <w:basedOn w:val="Normal"/>
    <w:link w:val="HeaderChar"/>
    <w:uiPriority w:val="99"/>
    <w:unhideWhenUsed/>
    <w:rsid w:val="00CC0AFF"/>
    <w:pPr>
      <w:tabs>
        <w:tab w:val="center" w:pos="4680"/>
        <w:tab w:val="right" w:pos="9360"/>
      </w:tabs>
    </w:pPr>
  </w:style>
  <w:style w:type="character" w:customStyle="1" w:styleId="HeaderChar">
    <w:name w:val="Header Char"/>
    <w:basedOn w:val="DefaultParagraphFont"/>
    <w:link w:val="Header"/>
    <w:uiPriority w:val="99"/>
    <w:rsid w:val="00CC0AFF"/>
  </w:style>
  <w:style w:type="paragraph" w:styleId="Footer">
    <w:name w:val="footer"/>
    <w:basedOn w:val="Normal"/>
    <w:link w:val="FooterChar"/>
    <w:uiPriority w:val="99"/>
    <w:unhideWhenUsed/>
    <w:rsid w:val="00CC0AFF"/>
    <w:pPr>
      <w:tabs>
        <w:tab w:val="center" w:pos="4680"/>
        <w:tab w:val="right" w:pos="9360"/>
      </w:tabs>
    </w:pPr>
  </w:style>
  <w:style w:type="character" w:customStyle="1" w:styleId="FooterChar">
    <w:name w:val="Footer Char"/>
    <w:basedOn w:val="DefaultParagraphFont"/>
    <w:link w:val="Footer"/>
    <w:uiPriority w:val="99"/>
    <w:rsid w:val="00CC0AFF"/>
  </w:style>
  <w:style w:type="character" w:styleId="PageNumber">
    <w:name w:val="page number"/>
    <w:basedOn w:val="DefaultParagraphFont"/>
    <w:uiPriority w:val="99"/>
    <w:semiHidden/>
    <w:unhideWhenUsed/>
    <w:rsid w:val="00CC0AFF"/>
  </w:style>
  <w:style w:type="paragraph" w:styleId="ListParagraph">
    <w:name w:val="List Paragraph"/>
    <w:basedOn w:val="Normal"/>
    <w:uiPriority w:val="34"/>
    <w:qFormat/>
    <w:rsid w:val="00E60A64"/>
    <w:pPr>
      <w:ind w:left="720"/>
      <w:contextualSpacing/>
    </w:pPr>
  </w:style>
  <w:style w:type="paragraph" w:styleId="FootnoteText">
    <w:name w:val="footnote text"/>
    <w:basedOn w:val="Normal"/>
    <w:link w:val="FootnoteTextChar"/>
    <w:uiPriority w:val="99"/>
    <w:unhideWhenUsed/>
    <w:rsid w:val="000B0ED0"/>
  </w:style>
  <w:style w:type="character" w:customStyle="1" w:styleId="FootnoteTextChar">
    <w:name w:val="Footnote Text Char"/>
    <w:basedOn w:val="DefaultParagraphFont"/>
    <w:link w:val="FootnoteText"/>
    <w:uiPriority w:val="99"/>
    <w:rsid w:val="000B0ED0"/>
    <w:rPr>
      <w:rFonts w:ascii="Times New Roman" w:hAnsi="Times New Roman" w:cs="Times New Roman"/>
    </w:rPr>
  </w:style>
  <w:style w:type="character" w:styleId="FootnoteReference">
    <w:name w:val="footnote reference"/>
    <w:basedOn w:val="DefaultParagraphFont"/>
    <w:uiPriority w:val="99"/>
    <w:unhideWhenUsed/>
    <w:rsid w:val="000B0ED0"/>
    <w:rPr>
      <w:vertAlign w:val="superscript"/>
    </w:rPr>
  </w:style>
  <w:style w:type="character" w:styleId="Emphasis">
    <w:name w:val="Emphasis"/>
    <w:basedOn w:val="DefaultParagraphFont"/>
    <w:uiPriority w:val="20"/>
    <w:qFormat/>
    <w:rsid w:val="00D04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389">
      <w:bodyDiv w:val="1"/>
      <w:marLeft w:val="0"/>
      <w:marRight w:val="0"/>
      <w:marTop w:val="0"/>
      <w:marBottom w:val="0"/>
      <w:divBdr>
        <w:top w:val="none" w:sz="0" w:space="0" w:color="auto"/>
        <w:left w:val="none" w:sz="0" w:space="0" w:color="auto"/>
        <w:bottom w:val="none" w:sz="0" w:space="0" w:color="auto"/>
        <w:right w:val="none" w:sz="0" w:space="0" w:color="auto"/>
      </w:divBdr>
    </w:div>
    <w:div w:id="52317141">
      <w:bodyDiv w:val="1"/>
      <w:marLeft w:val="0"/>
      <w:marRight w:val="0"/>
      <w:marTop w:val="0"/>
      <w:marBottom w:val="0"/>
      <w:divBdr>
        <w:top w:val="none" w:sz="0" w:space="0" w:color="auto"/>
        <w:left w:val="none" w:sz="0" w:space="0" w:color="auto"/>
        <w:bottom w:val="none" w:sz="0" w:space="0" w:color="auto"/>
        <w:right w:val="none" w:sz="0" w:space="0" w:color="auto"/>
      </w:divBdr>
    </w:div>
    <w:div w:id="147594625">
      <w:bodyDiv w:val="1"/>
      <w:marLeft w:val="0"/>
      <w:marRight w:val="0"/>
      <w:marTop w:val="0"/>
      <w:marBottom w:val="0"/>
      <w:divBdr>
        <w:top w:val="none" w:sz="0" w:space="0" w:color="auto"/>
        <w:left w:val="none" w:sz="0" w:space="0" w:color="auto"/>
        <w:bottom w:val="none" w:sz="0" w:space="0" w:color="auto"/>
        <w:right w:val="none" w:sz="0" w:space="0" w:color="auto"/>
      </w:divBdr>
    </w:div>
    <w:div w:id="170069761">
      <w:bodyDiv w:val="1"/>
      <w:marLeft w:val="0"/>
      <w:marRight w:val="0"/>
      <w:marTop w:val="0"/>
      <w:marBottom w:val="0"/>
      <w:divBdr>
        <w:top w:val="none" w:sz="0" w:space="0" w:color="auto"/>
        <w:left w:val="none" w:sz="0" w:space="0" w:color="auto"/>
        <w:bottom w:val="none" w:sz="0" w:space="0" w:color="auto"/>
        <w:right w:val="none" w:sz="0" w:space="0" w:color="auto"/>
      </w:divBdr>
    </w:div>
    <w:div w:id="385765731">
      <w:bodyDiv w:val="1"/>
      <w:marLeft w:val="0"/>
      <w:marRight w:val="0"/>
      <w:marTop w:val="0"/>
      <w:marBottom w:val="0"/>
      <w:divBdr>
        <w:top w:val="none" w:sz="0" w:space="0" w:color="auto"/>
        <w:left w:val="none" w:sz="0" w:space="0" w:color="auto"/>
        <w:bottom w:val="none" w:sz="0" w:space="0" w:color="auto"/>
        <w:right w:val="none" w:sz="0" w:space="0" w:color="auto"/>
      </w:divBdr>
    </w:div>
    <w:div w:id="471365455">
      <w:bodyDiv w:val="1"/>
      <w:marLeft w:val="0"/>
      <w:marRight w:val="0"/>
      <w:marTop w:val="0"/>
      <w:marBottom w:val="0"/>
      <w:divBdr>
        <w:top w:val="none" w:sz="0" w:space="0" w:color="auto"/>
        <w:left w:val="none" w:sz="0" w:space="0" w:color="auto"/>
        <w:bottom w:val="none" w:sz="0" w:space="0" w:color="auto"/>
        <w:right w:val="none" w:sz="0" w:space="0" w:color="auto"/>
      </w:divBdr>
    </w:div>
    <w:div w:id="487941742">
      <w:bodyDiv w:val="1"/>
      <w:marLeft w:val="0"/>
      <w:marRight w:val="0"/>
      <w:marTop w:val="0"/>
      <w:marBottom w:val="0"/>
      <w:divBdr>
        <w:top w:val="none" w:sz="0" w:space="0" w:color="auto"/>
        <w:left w:val="none" w:sz="0" w:space="0" w:color="auto"/>
        <w:bottom w:val="none" w:sz="0" w:space="0" w:color="auto"/>
        <w:right w:val="none" w:sz="0" w:space="0" w:color="auto"/>
      </w:divBdr>
    </w:div>
    <w:div w:id="592514202">
      <w:bodyDiv w:val="1"/>
      <w:marLeft w:val="0"/>
      <w:marRight w:val="0"/>
      <w:marTop w:val="0"/>
      <w:marBottom w:val="0"/>
      <w:divBdr>
        <w:top w:val="none" w:sz="0" w:space="0" w:color="auto"/>
        <w:left w:val="none" w:sz="0" w:space="0" w:color="auto"/>
        <w:bottom w:val="none" w:sz="0" w:space="0" w:color="auto"/>
        <w:right w:val="none" w:sz="0" w:space="0" w:color="auto"/>
      </w:divBdr>
    </w:div>
    <w:div w:id="602153083">
      <w:bodyDiv w:val="1"/>
      <w:marLeft w:val="0"/>
      <w:marRight w:val="0"/>
      <w:marTop w:val="0"/>
      <w:marBottom w:val="0"/>
      <w:divBdr>
        <w:top w:val="none" w:sz="0" w:space="0" w:color="auto"/>
        <w:left w:val="none" w:sz="0" w:space="0" w:color="auto"/>
        <w:bottom w:val="none" w:sz="0" w:space="0" w:color="auto"/>
        <w:right w:val="none" w:sz="0" w:space="0" w:color="auto"/>
      </w:divBdr>
    </w:div>
    <w:div w:id="666397731">
      <w:bodyDiv w:val="1"/>
      <w:marLeft w:val="0"/>
      <w:marRight w:val="0"/>
      <w:marTop w:val="0"/>
      <w:marBottom w:val="0"/>
      <w:divBdr>
        <w:top w:val="none" w:sz="0" w:space="0" w:color="auto"/>
        <w:left w:val="none" w:sz="0" w:space="0" w:color="auto"/>
        <w:bottom w:val="none" w:sz="0" w:space="0" w:color="auto"/>
        <w:right w:val="none" w:sz="0" w:space="0" w:color="auto"/>
      </w:divBdr>
    </w:div>
    <w:div w:id="750614445">
      <w:bodyDiv w:val="1"/>
      <w:marLeft w:val="0"/>
      <w:marRight w:val="0"/>
      <w:marTop w:val="0"/>
      <w:marBottom w:val="0"/>
      <w:divBdr>
        <w:top w:val="none" w:sz="0" w:space="0" w:color="auto"/>
        <w:left w:val="none" w:sz="0" w:space="0" w:color="auto"/>
        <w:bottom w:val="none" w:sz="0" w:space="0" w:color="auto"/>
        <w:right w:val="none" w:sz="0" w:space="0" w:color="auto"/>
      </w:divBdr>
    </w:div>
    <w:div w:id="768962501">
      <w:bodyDiv w:val="1"/>
      <w:marLeft w:val="0"/>
      <w:marRight w:val="0"/>
      <w:marTop w:val="0"/>
      <w:marBottom w:val="0"/>
      <w:divBdr>
        <w:top w:val="none" w:sz="0" w:space="0" w:color="auto"/>
        <w:left w:val="none" w:sz="0" w:space="0" w:color="auto"/>
        <w:bottom w:val="none" w:sz="0" w:space="0" w:color="auto"/>
        <w:right w:val="none" w:sz="0" w:space="0" w:color="auto"/>
      </w:divBdr>
    </w:div>
    <w:div w:id="790787962">
      <w:bodyDiv w:val="1"/>
      <w:marLeft w:val="0"/>
      <w:marRight w:val="0"/>
      <w:marTop w:val="0"/>
      <w:marBottom w:val="0"/>
      <w:divBdr>
        <w:top w:val="none" w:sz="0" w:space="0" w:color="auto"/>
        <w:left w:val="none" w:sz="0" w:space="0" w:color="auto"/>
        <w:bottom w:val="none" w:sz="0" w:space="0" w:color="auto"/>
        <w:right w:val="none" w:sz="0" w:space="0" w:color="auto"/>
      </w:divBdr>
    </w:div>
    <w:div w:id="871109365">
      <w:bodyDiv w:val="1"/>
      <w:marLeft w:val="0"/>
      <w:marRight w:val="0"/>
      <w:marTop w:val="0"/>
      <w:marBottom w:val="0"/>
      <w:divBdr>
        <w:top w:val="none" w:sz="0" w:space="0" w:color="auto"/>
        <w:left w:val="none" w:sz="0" w:space="0" w:color="auto"/>
        <w:bottom w:val="none" w:sz="0" w:space="0" w:color="auto"/>
        <w:right w:val="none" w:sz="0" w:space="0" w:color="auto"/>
      </w:divBdr>
      <w:divsChild>
        <w:div w:id="394007224">
          <w:marLeft w:val="-225"/>
          <w:marRight w:val="-225"/>
          <w:marTop w:val="0"/>
          <w:marBottom w:val="0"/>
          <w:divBdr>
            <w:top w:val="none" w:sz="0" w:space="0" w:color="auto"/>
            <w:left w:val="none" w:sz="0" w:space="0" w:color="auto"/>
            <w:bottom w:val="none" w:sz="0" w:space="0" w:color="auto"/>
            <w:right w:val="none" w:sz="0" w:space="0" w:color="auto"/>
          </w:divBdr>
          <w:divsChild>
            <w:div w:id="1302347778">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897285890">
      <w:bodyDiv w:val="1"/>
      <w:marLeft w:val="0"/>
      <w:marRight w:val="0"/>
      <w:marTop w:val="0"/>
      <w:marBottom w:val="0"/>
      <w:divBdr>
        <w:top w:val="none" w:sz="0" w:space="0" w:color="auto"/>
        <w:left w:val="none" w:sz="0" w:space="0" w:color="auto"/>
        <w:bottom w:val="none" w:sz="0" w:space="0" w:color="auto"/>
        <w:right w:val="none" w:sz="0" w:space="0" w:color="auto"/>
      </w:divBdr>
    </w:div>
    <w:div w:id="912350298">
      <w:bodyDiv w:val="1"/>
      <w:marLeft w:val="0"/>
      <w:marRight w:val="0"/>
      <w:marTop w:val="0"/>
      <w:marBottom w:val="0"/>
      <w:divBdr>
        <w:top w:val="none" w:sz="0" w:space="0" w:color="auto"/>
        <w:left w:val="none" w:sz="0" w:space="0" w:color="auto"/>
        <w:bottom w:val="none" w:sz="0" w:space="0" w:color="auto"/>
        <w:right w:val="none" w:sz="0" w:space="0" w:color="auto"/>
      </w:divBdr>
    </w:div>
    <w:div w:id="1019161090">
      <w:bodyDiv w:val="1"/>
      <w:marLeft w:val="0"/>
      <w:marRight w:val="0"/>
      <w:marTop w:val="0"/>
      <w:marBottom w:val="0"/>
      <w:divBdr>
        <w:top w:val="none" w:sz="0" w:space="0" w:color="auto"/>
        <w:left w:val="none" w:sz="0" w:space="0" w:color="auto"/>
        <w:bottom w:val="none" w:sz="0" w:space="0" w:color="auto"/>
        <w:right w:val="none" w:sz="0" w:space="0" w:color="auto"/>
      </w:divBdr>
    </w:div>
    <w:div w:id="1193300090">
      <w:bodyDiv w:val="1"/>
      <w:marLeft w:val="0"/>
      <w:marRight w:val="0"/>
      <w:marTop w:val="0"/>
      <w:marBottom w:val="0"/>
      <w:divBdr>
        <w:top w:val="none" w:sz="0" w:space="0" w:color="auto"/>
        <w:left w:val="none" w:sz="0" w:space="0" w:color="auto"/>
        <w:bottom w:val="none" w:sz="0" w:space="0" w:color="auto"/>
        <w:right w:val="none" w:sz="0" w:space="0" w:color="auto"/>
      </w:divBdr>
    </w:div>
    <w:div w:id="1245989731">
      <w:bodyDiv w:val="1"/>
      <w:marLeft w:val="0"/>
      <w:marRight w:val="0"/>
      <w:marTop w:val="0"/>
      <w:marBottom w:val="0"/>
      <w:divBdr>
        <w:top w:val="none" w:sz="0" w:space="0" w:color="auto"/>
        <w:left w:val="none" w:sz="0" w:space="0" w:color="auto"/>
        <w:bottom w:val="none" w:sz="0" w:space="0" w:color="auto"/>
        <w:right w:val="none" w:sz="0" w:space="0" w:color="auto"/>
      </w:divBdr>
    </w:div>
    <w:div w:id="1259564170">
      <w:bodyDiv w:val="1"/>
      <w:marLeft w:val="0"/>
      <w:marRight w:val="0"/>
      <w:marTop w:val="0"/>
      <w:marBottom w:val="0"/>
      <w:divBdr>
        <w:top w:val="none" w:sz="0" w:space="0" w:color="auto"/>
        <w:left w:val="none" w:sz="0" w:space="0" w:color="auto"/>
        <w:bottom w:val="none" w:sz="0" w:space="0" w:color="auto"/>
        <w:right w:val="none" w:sz="0" w:space="0" w:color="auto"/>
      </w:divBdr>
    </w:div>
    <w:div w:id="1284533252">
      <w:bodyDiv w:val="1"/>
      <w:marLeft w:val="0"/>
      <w:marRight w:val="0"/>
      <w:marTop w:val="0"/>
      <w:marBottom w:val="0"/>
      <w:divBdr>
        <w:top w:val="none" w:sz="0" w:space="0" w:color="auto"/>
        <w:left w:val="none" w:sz="0" w:space="0" w:color="auto"/>
        <w:bottom w:val="none" w:sz="0" w:space="0" w:color="auto"/>
        <w:right w:val="none" w:sz="0" w:space="0" w:color="auto"/>
      </w:divBdr>
    </w:div>
    <w:div w:id="1285423660">
      <w:bodyDiv w:val="1"/>
      <w:marLeft w:val="0"/>
      <w:marRight w:val="0"/>
      <w:marTop w:val="0"/>
      <w:marBottom w:val="0"/>
      <w:divBdr>
        <w:top w:val="none" w:sz="0" w:space="0" w:color="auto"/>
        <w:left w:val="none" w:sz="0" w:space="0" w:color="auto"/>
        <w:bottom w:val="none" w:sz="0" w:space="0" w:color="auto"/>
        <w:right w:val="none" w:sz="0" w:space="0" w:color="auto"/>
      </w:divBdr>
    </w:div>
    <w:div w:id="1330597709">
      <w:bodyDiv w:val="1"/>
      <w:marLeft w:val="0"/>
      <w:marRight w:val="0"/>
      <w:marTop w:val="0"/>
      <w:marBottom w:val="0"/>
      <w:divBdr>
        <w:top w:val="none" w:sz="0" w:space="0" w:color="auto"/>
        <w:left w:val="none" w:sz="0" w:space="0" w:color="auto"/>
        <w:bottom w:val="none" w:sz="0" w:space="0" w:color="auto"/>
        <w:right w:val="none" w:sz="0" w:space="0" w:color="auto"/>
      </w:divBdr>
    </w:div>
    <w:div w:id="1335496461">
      <w:bodyDiv w:val="1"/>
      <w:marLeft w:val="0"/>
      <w:marRight w:val="0"/>
      <w:marTop w:val="0"/>
      <w:marBottom w:val="0"/>
      <w:divBdr>
        <w:top w:val="none" w:sz="0" w:space="0" w:color="auto"/>
        <w:left w:val="none" w:sz="0" w:space="0" w:color="auto"/>
        <w:bottom w:val="none" w:sz="0" w:space="0" w:color="auto"/>
        <w:right w:val="none" w:sz="0" w:space="0" w:color="auto"/>
      </w:divBdr>
    </w:div>
    <w:div w:id="1409039844">
      <w:bodyDiv w:val="1"/>
      <w:marLeft w:val="0"/>
      <w:marRight w:val="0"/>
      <w:marTop w:val="0"/>
      <w:marBottom w:val="0"/>
      <w:divBdr>
        <w:top w:val="none" w:sz="0" w:space="0" w:color="auto"/>
        <w:left w:val="none" w:sz="0" w:space="0" w:color="auto"/>
        <w:bottom w:val="none" w:sz="0" w:space="0" w:color="auto"/>
        <w:right w:val="none" w:sz="0" w:space="0" w:color="auto"/>
      </w:divBdr>
      <w:divsChild>
        <w:div w:id="1445686495">
          <w:marLeft w:val="0"/>
          <w:marRight w:val="0"/>
          <w:marTop w:val="0"/>
          <w:marBottom w:val="0"/>
          <w:divBdr>
            <w:top w:val="none" w:sz="0" w:space="0" w:color="auto"/>
            <w:left w:val="none" w:sz="0" w:space="0" w:color="auto"/>
            <w:bottom w:val="none" w:sz="0" w:space="0" w:color="auto"/>
            <w:right w:val="none" w:sz="0" w:space="0" w:color="auto"/>
          </w:divBdr>
          <w:divsChild>
            <w:div w:id="932013979">
              <w:marLeft w:val="0"/>
              <w:marRight w:val="0"/>
              <w:marTop w:val="0"/>
              <w:marBottom w:val="0"/>
              <w:divBdr>
                <w:top w:val="none" w:sz="0" w:space="0" w:color="auto"/>
                <w:left w:val="none" w:sz="0" w:space="0" w:color="auto"/>
                <w:bottom w:val="none" w:sz="0" w:space="0" w:color="auto"/>
                <w:right w:val="none" w:sz="0" w:space="0" w:color="auto"/>
              </w:divBdr>
              <w:divsChild>
                <w:div w:id="20515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4479">
      <w:bodyDiv w:val="1"/>
      <w:marLeft w:val="0"/>
      <w:marRight w:val="0"/>
      <w:marTop w:val="0"/>
      <w:marBottom w:val="0"/>
      <w:divBdr>
        <w:top w:val="none" w:sz="0" w:space="0" w:color="auto"/>
        <w:left w:val="none" w:sz="0" w:space="0" w:color="auto"/>
        <w:bottom w:val="none" w:sz="0" w:space="0" w:color="auto"/>
        <w:right w:val="none" w:sz="0" w:space="0" w:color="auto"/>
      </w:divBdr>
    </w:div>
    <w:div w:id="1454324867">
      <w:bodyDiv w:val="1"/>
      <w:marLeft w:val="0"/>
      <w:marRight w:val="0"/>
      <w:marTop w:val="0"/>
      <w:marBottom w:val="0"/>
      <w:divBdr>
        <w:top w:val="none" w:sz="0" w:space="0" w:color="auto"/>
        <w:left w:val="none" w:sz="0" w:space="0" w:color="auto"/>
        <w:bottom w:val="none" w:sz="0" w:space="0" w:color="auto"/>
        <w:right w:val="none" w:sz="0" w:space="0" w:color="auto"/>
      </w:divBdr>
    </w:div>
    <w:div w:id="1477796704">
      <w:bodyDiv w:val="1"/>
      <w:marLeft w:val="0"/>
      <w:marRight w:val="0"/>
      <w:marTop w:val="0"/>
      <w:marBottom w:val="0"/>
      <w:divBdr>
        <w:top w:val="none" w:sz="0" w:space="0" w:color="auto"/>
        <w:left w:val="none" w:sz="0" w:space="0" w:color="auto"/>
        <w:bottom w:val="none" w:sz="0" w:space="0" w:color="auto"/>
        <w:right w:val="none" w:sz="0" w:space="0" w:color="auto"/>
      </w:divBdr>
    </w:div>
    <w:div w:id="1504204915">
      <w:bodyDiv w:val="1"/>
      <w:marLeft w:val="0"/>
      <w:marRight w:val="0"/>
      <w:marTop w:val="0"/>
      <w:marBottom w:val="0"/>
      <w:divBdr>
        <w:top w:val="none" w:sz="0" w:space="0" w:color="auto"/>
        <w:left w:val="none" w:sz="0" w:space="0" w:color="auto"/>
        <w:bottom w:val="none" w:sz="0" w:space="0" w:color="auto"/>
        <w:right w:val="none" w:sz="0" w:space="0" w:color="auto"/>
      </w:divBdr>
    </w:div>
    <w:div w:id="1508250554">
      <w:bodyDiv w:val="1"/>
      <w:marLeft w:val="0"/>
      <w:marRight w:val="0"/>
      <w:marTop w:val="0"/>
      <w:marBottom w:val="0"/>
      <w:divBdr>
        <w:top w:val="none" w:sz="0" w:space="0" w:color="auto"/>
        <w:left w:val="none" w:sz="0" w:space="0" w:color="auto"/>
        <w:bottom w:val="none" w:sz="0" w:space="0" w:color="auto"/>
        <w:right w:val="none" w:sz="0" w:space="0" w:color="auto"/>
      </w:divBdr>
    </w:div>
    <w:div w:id="1511792347">
      <w:bodyDiv w:val="1"/>
      <w:marLeft w:val="0"/>
      <w:marRight w:val="0"/>
      <w:marTop w:val="0"/>
      <w:marBottom w:val="0"/>
      <w:divBdr>
        <w:top w:val="none" w:sz="0" w:space="0" w:color="auto"/>
        <w:left w:val="none" w:sz="0" w:space="0" w:color="auto"/>
        <w:bottom w:val="none" w:sz="0" w:space="0" w:color="auto"/>
        <w:right w:val="none" w:sz="0" w:space="0" w:color="auto"/>
      </w:divBdr>
    </w:div>
    <w:div w:id="1554150462">
      <w:bodyDiv w:val="1"/>
      <w:marLeft w:val="0"/>
      <w:marRight w:val="0"/>
      <w:marTop w:val="0"/>
      <w:marBottom w:val="0"/>
      <w:divBdr>
        <w:top w:val="none" w:sz="0" w:space="0" w:color="auto"/>
        <w:left w:val="none" w:sz="0" w:space="0" w:color="auto"/>
        <w:bottom w:val="none" w:sz="0" w:space="0" w:color="auto"/>
        <w:right w:val="none" w:sz="0" w:space="0" w:color="auto"/>
      </w:divBdr>
    </w:div>
    <w:div w:id="1590308328">
      <w:bodyDiv w:val="1"/>
      <w:marLeft w:val="0"/>
      <w:marRight w:val="0"/>
      <w:marTop w:val="0"/>
      <w:marBottom w:val="0"/>
      <w:divBdr>
        <w:top w:val="none" w:sz="0" w:space="0" w:color="auto"/>
        <w:left w:val="none" w:sz="0" w:space="0" w:color="auto"/>
        <w:bottom w:val="none" w:sz="0" w:space="0" w:color="auto"/>
        <w:right w:val="none" w:sz="0" w:space="0" w:color="auto"/>
      </w:divBdr>
    </w:div>
    <w:div w:id="1611627623">
      <w:bodyDiv w:val="1"/>
      <w:marLeft w:val="0"/>
      <w:marRight w:val="0"/>
      <w:marTop w:val="0"/>
      <w:marBottom w:val="0"/>
      <w:divBdr>
        <w:top w:val="none" w:sz="0" w:space="0" w:color="auto"/>
        <w:left w:val="none" w:sz="0" w:space="0" w:color="auto"/>
        <w:bottom w:val="none" w:sz="0" w:space="0" w:color="auto"/>
        <w:right w:val="none" w:sz="0" w:space="0" w:color="auto"/>
      </w:divBdr>
    </w:div>
    <w:div w:id="1613585027">
      <w:bodyDiv w:val="1"/>
      <w:marLeft w:val="0"/>
      <w:marRight w:val="0"/>
      <w:marTop w:val="0"/>
      <w:marBottom w:val="0"/>
      <w:divBdr>
        <w:top w:val="none" w:sz="0" w:space="0" w:color="auto"/>
        <w:left w:val="none" w:sz="0" w:space="0" w:color="auto"/>
        <w:bottom w:val="none" w:sz="0" w:space="0" w:color="auto"/>
        <w:right w:val="none" w:sz="0" w:space="0" w:color="auto"/>
      </w:divBdr>
    </w:div>
    <w:div w:id="1637491767">
      <w:bodyDiv w:val="1"/>
      <w:marLeft w:val="0"/>
      <w:marRight w:val="0"/>
      <w:marTop w:val="0"/>
      <w:marBottom w:val="0"/>
      <w:divBdr>
        <w:top w:val="none" w:sz="0" w:space="0" w:color="auto"/>
        <w:left w:val="none" w:sz="0" w:space="0" w:color="auto"/>
        <w:bottom w:val="none" w:sz="0" w:space="0" w:color="auto"/>
        <w:right w:val="none" w:sz="0" w:space="0" w:color="auto"/>
      </w:divBdr>
    </w:div>
    <w:div w:id="1652370851">
      <w:bodyDiv w:val="1"/>
      <w:marLeft w:val="0"/>
      <w:marRight w:val="0"/>
      <w:marTop w:val="0"/>
      <w:marBottom w:val="0"/>
      <w:divBdr>
        <w:top w:val="none" w:sz="0" w:space="0" w:color="auto"/>
        <w:left w:val="none" w:sz="0" w:space="0" w:color="auto"/>
        <w:bottom w:val="none" w:sz="0" w:space="0" w:color="auto"/>
        <w:right w:val="none" w:sz="0" w:space="0" w:color="auto"/>
      </w:divBdr>
    </w:div>
    <w:div w:id="1703821674">
      <w:bodyDiv w:val="1"/>
      <w:marLeft w:val="0"/>
      <w:marRight w:val="0"/>
      <w:marTop w:val="0"/>
      <w:marBottom w:val="0"/>
      <w:divBdr>
        <w:top w:val="none" w:sz="0" w:space="0" w:color="auto"/>
        <w:left w:val="none" w:sz="0" w:space="0" w:color="auto"/>
        <w:bottom w:val="none" w:sz="0" w:space="0" w:color="auto"/>
        <w:right w:val="none" w:sz="0" w:space="0" w:color="auto"/>
      </w:divBdr>
    </w:div>
    <w:div w:id="1707900585">
      <w:bodyDiv w:val="1"/>
      <w:marLeft w:val="0"/>
      <w:marRight w:val="0"/>
      <w:marTop w:val="0"/>
      <w:marBottom w:val="0"/>
      <w:divBdr>
        <w:top w:val="none" w:sz="0" w:space="0" w:color="auto"/>
        <w:left w:val="none" w:sz="0" w:space="0" w:color="auto"/>
        <w:bottom w:val="none" w:sz="0" w:space="0" w:color="auto"/>
        <w:right w:val="none" w:sz="0" w:space="0" w:color="auto"/>
      </w:divBdr>
    </w:div>
    <w:div w:id="1774595673">
      <w:bodyDiv w:val="1"/>
      <w:marLeft w:val="0"/>
      <w:marRight w:val="0"/>
      <w:marTop w:val="0"/>
      <w:marBottom w:val="0"/>
      <w:divBdr>
        <w:top w:val="none" w:sz="0" w:space="0" w:color="auto"/>
        <w:left w:val="none" w:sz="0" w:space="0" w:color="auto"/>
        <w:bottom w:val="none" w:sz="0" w:space="0" w:color="auto"/>
        <w:right w:val="none" w:sz="0" w:space="0" w:color="auto"/>
      </w:divBdr>
      <w:divsChild>
        <w:div w:id="2045061556">
          <w:marLeft w:val="0"/>
          <w:marRight w:val="0"/>
          <w:marTop w:val="0"/>
          <w:marBottom w:val="0"/>
          <w:divBdr>
            <w:top w:val="none" w:sz="0" w:space="0" w:color="auto"/>
            <w:left w:val="none" w:sz="0" w:space="0" w:color="auto"/>
            <w:bottom w:val="none" w:sz="0" w:space="0" w:color="auto"/>
            <w:right w:val="none" w:sz="0" w:space="0" w:color="auto"/>
          </w:divBdr>
          <w:divsChild>
            <w:div w:id="2011518968">
              <w:marLeft w:val="0"/>
              <w:marRight w:val="0"/>
              <w:marTop w:val="0"/>
              <w:marBottom w:val="0"/>
              <w:divBdr>
                <w:top w:val="none" w:sz="0" w:space="0" w:color="auto"/>
                <w:left w:val="none" w:sz="0" w:space="0" w:color="auto"/>
                <w:bottom w:val="none" w:sz="0" w:space="0" w:color="auto"/>
                <w:right w:val="none" w:sz="0" w:space="0" w:color="auto"/>
              </w:divBdr>
              <w:divsChild>
                <w:div w:id="8954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0917">
      <w:bodyDiv w:val="1"/>
      <w:marLeft w:val="0"/>
      <w:marRight w:val="0"/>
      <w:marTop w:val="0"/>
      <w:marBottom w:val="0"/>
      <w:divBdr>
        <w:top w:val="none" w:sz="0" w:space="0" w:color="auto"/>
        <w:left w:val="none" w:sz="0" w:space="0" w:color="auto"/>
        <w:bottom w:val="none" w:sz="0" w:space="0" w:color="auto"/>
        <w:right w:val="none" w:sz="0" w:space="0" w:color="auto"/>
      </w:divBdr>
    </w:div>
    <w:div w:id="1947804548">
      <w:bodyDiv w:val="1"/>
      <w:marLeft w:val="0"/>
      <w:marRight w:val="0"/>
      <w:marTop w:val="0"/>
      <w:marBottom w:val="0"/>
      <w:divBdr>
        <w:top w:val="none" w:sz="0" w:space="0" w:color="auto"/>
        <w:left w:val="none" w:sz="0" w:space="0" w:color="auto"/>
        <w:bottom w:val="none" w:sz="0" w:space="0" w:color="auto"/>
        <w:right w:val="none" w:sz="0" w:space="0" w:color="auto"/>
      </w:divBdr>
    </w:div>
    <w:div w:id="1948192905">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2074157692">
      <w:bodyDiv w:val="1"/>
      <w:marLeft w:val="0"/>
      <w:marRight w:val="0"/>
      <w:marTop w:val="0"/>
      <w:marBottom w:val="0"/>
      <w:divBdr>
        <w:top w:val="none" w:sz="0" w:space="0" w:color="auto"/>
        <w:left w:val="none" w:sz="0" w:space="0" w:color="auto"/>
        <w:bottom w:val="none" w:sz="0" w:space="0" w:color="auto"/>
        <w:right w:val="none" w:sz="0" w:space="0" w:color="auto"/>
      </w:divBdr>
    </w:div>
    <w:div w:id="2081827811">
      <w:bodyDiv w:val="1"/>
      <w:marLeft w:val="0"/>
      <w:marRight w:val="0"/>
      <w:marTop w:val="0"/>
      <w:marBottom w:val="0"/>
      <w:divBdr>
        <w:top w:val="none" w:sz="0" w:space="0" w:color="auto"/>
        <w:left w:val="none" w:sz="0" w:space="0" w:color="auto"/>
        <w:bottom w:val="none" w:sz="0" w:space="0" w:color="auto"/>
        <w:right w:val="none" w:sz="0" w:space="0" w:color="auto"/>
      </w:divBdr>
    </w:div>
    <w:div w:id="2098598757">
      <w:bodyDiv w:val="1"/>
      <w:marLeft w:val="0"/>
      <w:marRight w:val="0"/>
      <w:marTop w:val="0"/>
      <w:marBottom w:val="0"/>
      <w:divBdr>
        <w:top w:val="none" w:sz="0" w:space="0" w:color="auto"/>
        <w:left w:val="none" w:sz="0" w:space="0" w:color="auto"/>
        <w:bottom w:val="none" w:sz="0" w:space="0" w:color="auto"/>
        <w:right w:val="none" w:sz="0" w:space="0" w:color="auto"/>
      </w:divBdr>
    </w:div>
    <w:div w:id="2142071628">
      <w:bodyDiv w:val="1"/>
      <w:marLeft w:val="0"/>
      <w:marRight w:val="0"/>
      <w:marTop w:val="0"/>
      <w:marBottom w:val="0"/>
      <w:divBdr>
        <w:top w:val="none" w:sz="0" w:space="0" w:color="auto"/>
        <w:left w:val="none" w:sz="0" w:space="0" w:color="auto"/>
        <w:bottom w:val="none" w:sz="0" w:space="0" w:color="auto"/>
        <w:right w:val="none" w:sz="0" w:space="0" w:color="auto"/>
      </w:divBdr>
      <w:divsChild>
        <w:div w:id="537671240">
          <w:marLeft w:val="0"/>
          <w:marRight w:val="0"/>
          <w:marTop w:val="0"/>
          <w:marBottom w:val="0"/>
          <w:divBdr>
            <w:top w:val="none" w:sz="0" w:space="0" w:color="auto"/>
            <w:left w:val="none" w:sz="0" w:space="0" w:color="auto"/>
            <w:bottom w:val="none" w:sz="0" w:space="0" w:color="auto"/>
            <w:right w:val="none" w:sz="0" w:space="0" w:color="auto"/>
          </w:divBdr>
          <w:divsChild>
            <w:div w:id="1988044200">
              <w:marLeft w:val="0"/>
              <w:marRight w:val="0"/>
              <w:marTop w:val="0"/>
              <w:marBottom w:val="0"/>
              <w:divBdr>
                <w:top w:val="none" w:sz="0" w:space="0" w:color="auto"/>
                <w:left w:val="none" w:sz="0" w:space="0" w:color="auto"/>
                <w:bottom w:val="none" w:sz="0" w:space="0" w:color="auto"/>
                <w:right w:val="none" w:sz="0" w:space="0" w:color="auto"/>
              </w:divBdr>
              <w:divsChild>
                <w:div w:id="12469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i.org/10.1136/bmj.j2687" TargetMode="External"/><Relationship Id="rId12" Type="http://schemas.openxmlformats.org/officeDocument/2006/relationships/hyperlink" Target="https://doi.org/10.1111/j.1365-2710.2011.01293.x" TargetMode="External"/><Relationship Id="rId13" Type="http://schemas.openxmlformats.org/officeDocument/2006/relationships/hyperlink" Target="http://www.searo.who.int/india/topics/antimicrobial_resistance/nap_amr.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x.doi.org/10.4103/0975-7406.120069" TargetMode="External"/><Relationship Id="rId9" Type="http://schemas.openxmlformats.org/officeDocument/2006/relationships/hyperlink" Target="https://www.ncbi.nlm.nih.gov/pmc/articles/PMC3471162/" TargetMode="External"/><Relationship Id="rId10" Type="http://schemas.openxmlformats.org/officeDocument/2006/relationships/hyperlink" Target="https://doi.org/10.1016/S1473-3099(13)70314-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aro.who.int/india/topics/antimicrobial_resistance/nap_amr.pdf" TargetMode="External"/><Relationship Id="rId4" Type="http://schemas.openxmlformats.org/officeDocument/2006/relationships/hyperlink" Target="http://dx.doi.org/10.1186/s13756-015-0098-8" TargetMode="External"/><Relationship Id="rId5" Type="http://schemas.openxmlformats.org/officeDocument/2006/relationships/hyperlink" Target="https://doi.org/10.1007/s11096-009-9307-y" TargetMode="External"/><Relationship Id="rId6" Type="http://schemas.openxmlformats.org/officeDocument/2006/relationships/hyperlink" Target="https://www.ncbi.nlm.nih.gov/pmc/articles/PMC3471162/" TargetMode="External"/><Relationship Id="rId7" Type="http://schemas.openxmlformats.org/officeDocument/2006/relationships/hyperlink" Target="https://doi.org/10.1111/j.1365-2710.2011.01293.x" TargetMode="External"/><Relationship Id="rId8" Type="http://schemas.openxmlformats.org/officeDocument/2006/relationships/hyperlink" Target="https://dx.doi.org/10.4103/0975-7406.120069" TargetMode="External"/><Relationship Id="rId1" Type="http://schemas.openxmlformats.org/officeDocument/2006/relationships/hyperlink" Target="https://doi.org/10.1136/bmj.j2687" TargetMode="External"/><Relationship Id="rId2" Type="http://schemas.openxmlformats.org/officeDocument/2006/relationships/hyperlink" Target="https://doi.org/10.1016/S1473-3099(13)703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AB5C-4F2B-4248-8E1A-5E55A493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11</Pages>
  <Words>2617</Words>
  <Characters>14923</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75</cp:revision>
  <dcterms:created xsi:type="dcterms:W3CDTF">2018-12-05T15:46:00Z</dcterms:created>
  <dcterms:modified xsi:type="dcterms:W3CDTF">2018-12-07T00:29:00Z</dcterms:modified>
</cp:coreProperties>
</file>